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E7" w:rsidRDefault="008F47E7" w:rsidP="008F47E7">
      <w:r>
        <w:t xml:space="preserve">1.Για να υπολογίσουμε το πραγματικό Ακαθάριστο Εγχώριο Προϊόν (ΑΕΠ) ενός έτους, διαιρούμε το ονομαστικό ΑΕΠ αυτού του έτους με:  </w:t>
      </w:r>
    </w:p>
    <w:p w:rsidR="008F47E7" w:rsidRDefault="008F47E7" w:rsidP="008F47E7">
      <w:r w:rsidRPr="001F2132">
        <w:rPr>
          <w:highlight w:val="yellow"/>
        </w:rPr>
        <w:t>α</w:t>
      </w:r>
      <w:r>
        <w:t xml:space="preserve">.  ένα δείκτη που εκφράζει τη σχέση των τιμών μεταξύ του συγκεκριμένου έτους και του έτους βάσης. </w:t>
      </w:r>
    </w:p>
    <w:p w:rsidR="008F47E7" w:rsidRDefault="008F47E7" w:rsidP="008F47E7">
      <w:r>
        <w:t xml:space="preserve">β.  ένα δείκτη που εκφράζει τη σχέση των εισοδημάτων μεταξύ του συγκεκριμένου έτους και του έτους βάσης.  </w:t>
      </w:r>
    </w:p>
    <w:p w:rsidR="008F47E7" w:rsidRPr="0035501C" w:rsidRDefault="008F47E7" w:rsidP="008F47E7">
      <w:r>
        <w:t xml:space="preserve">γ.  τον αποπληθωριστή του επόμενου έτους. δ.  τον αποπληθωριστή του προηγούμενου έτους. </w:t>
      </w:r>
    </w:p>
    <w:p w:rsidR="0035501C" w:rsidRPr="0035501C" w:rsidRDefault="0035501C" w:rsidP="008F47E7">
      <w:r>
        <w:t>δ.  τον αποπληθωριστή του προηγούμενου έτους.</w:t>
      </w:r>
    </w:p>
    <w:p w:rsidR="008F47E7" w:rsidRDefault="008F47E7" w:rsidP="008F47E7">
      <w:r>
        <w:t xml:space="preserve"> </w:t>
      </w:r>
    </w:p>
    <w:p w:rsidR="008F47E7" w:rsidRDefault="008F47E7" w:rsidP="008F47E7">
      <w:r>
        <w:t xml:space="preserve">2.  Σε μία οικονομία χωρίς κρατικό τομέα, αν η συνάρτηση κατανάλωσης είναι C = 80 + 0,5Υ, τότε η μέση ροπή προς κατανάλωση (APC) και η οριακή ροπή προς κατανάλωση (MPC) για εισόδημα Y = 500 είναι: </w:t>
      </w:r>
    </w:p>
    <w:p w:rsidR="008F47E7" w:rsidRDefault="008F47E7" w:rsidP="008F47E7">
      <w:r>
        <w:t xml:space="preserve"> </w:t>
      </w:r>
      <w:r w:rsidRPr="001F2132">
        <w:rPr>
          <w:highlight w:val="yellow"/>
        </w:rPr>
        <w:t>α</w:t>
      </w:r>
      <w:r w:rsidRPr="001F2132">
        <w:t>.  APC = 0,66 και MPC = 0,50.</w:t>
      </w:r>
      <w:r>
        <w:t xml:space="preserve"> </w:t>
      </w:r>
    </w:p>
    <w:p w:rsidR="008F47E7" w:rsidRDefault="008F47E7" w:rsidP="008F47E7">
      <w:r>
        <w:t xml:space="preserve">β.  APC = 0,70 και MPC = 0,60. </w:t>
      </w:r>
    </w:p>
    <w:p w:rsidR="008F47E7" w:rsidRDefault="008F47E7" w:rsidP="008F47E7">
      <w:r>
        <w:t>γ.  APC = 0,50 και MPC = 0,50</w:t>
      </w:r>
    </w:p>
    <w:p w:rsidR="00E96637" w:rsidRDefault="008F47E7" w:rsidP="008F47E7">
      <w:r>
        <w:t xml:space="preserve"> δ.  APC = 0,55 και MPC = 0,60.</w:t>
      </w:r>
    </w:p>
    <w:p w:rsidR="008F47E7" w:rsidRDefault="008F47E7" w:rsidP="008F47E7"/>
    <w:p w:rsidR="008F47E7" w:rsidRDefault="008F47E7" w:rsidP="008F47E7">
      <w:r>
        <w:t>3.</w:t>
      </w:r>
      <w:r w:rsidRPr="008F47E7">
        <w:t xml:space="preserve">  Η τιμή του πολλαπλασιαστή επενδύσεων σε μία κλειστή οικονομία, όταν η οριακή ροπή προς κατανάλωση είναι MPC = 0,6, και υπάρχουν μόνο αυτόνομοι φόροι, αυτόνομες επενδύσεις και αυτόνομες κρατικές δαπάνες, είναι ίση με:</w:t>
      </w:r>
    </w:p>
    <w:p w:rsidR="008F47E7" w:rsidRDefault="008F47E7" w:rsidP="008F47E7">
      <w:r>
        <w:t xml:space="preserve"> </w:t>
      </w:r>
      <w:r w:rsidRPr="008F47E7">
        <w:t xml:space="preserve">α.  2,0. </w:t>
      </w:r>
    </w:p>
    <w:p w:rsidR="008F47E7" w:rsidRDefault="008F47E7" w:rsidP="008F47E7">
      <w:r w:rsidRPr="008F47E7">
        <w:t xml:space="preserve">β.  1,5. </w:t>
      </w:r>
    </w:p>
    <w:p w:rsidR="008F47E7" w:rsidRDefault="008F47E7" w:rsidP="008F47E7">
      <w:r w:rsidRPr="001F2132">
        <w:rPr>
          <w:highlight w:val="yellow"/>
        </w:rPr>
        <w:t>γ</w:t>
      </w:r>
      <w:r w:rsidRPr="001F2132">
        <w:t>.  2,5.</w:t>
      </w:r>
      <w:r w:rsidRPr="008F47E7">
        <w:t xml:space="preserve"> </w:t>
      </w:r>
    </w:p>
    <w:p w:rsidR="008F47E7" w:rsidRDefault="008F47E7" w:rsidP="008F47E7">
      <w:r w:rsidRPr="008F47E7">
        <w:t>δ.  3,0.</w:t>
      </w:r>
    </w:p>
    <w:p w:rsidR="001F2132" w:rsidRDefault="001F2132" w:rsidP="008F47E7"/>
    <w:p w:rsidR="001F2132" w:rsidRDefault="00026DF1" w:rsidP="008F47E7">
      <w:r>
        <w:t>4.</w:t>
      </w:r>
      <w:r w:rsidR="001F2132" w:rsidRPr="001F2132">
        <w:t xml:space="preserve">Έστω ότι η αγορά χρήματος βρίσκεται σε ισορροπία. Αύξηση της προσφοράς χρήματος, κατά τη μετάβαση στη νέα ισορροπία, θα προκαλέσει:  </w:t>
      </w:r>
    </w:p>
    <w:p w:rsidR="001F2132" w:rsidRDefault="001F2132" w:rsidP="008F47E7">
      <w:r w:rsidRPr="001F2132">
        <w:t xml:space="preserve">α.  υπερβάλλουσα προσφορά ομολόγων. </w:t>
      </w:r>
    </w:p>
    <w:p w:rsidR="001F2132" w:rsidRDefault="001F2132" w:rsidP="008F47E7">
      <w:r w:rsidRPr="001F2132">
        <w:rPr>
          <w:highlight w:val="yellow"/>
        </w:rPr>
        <w:t>β.</w:t>
      </w:r>
      <w:r w:rsidRPr="001F2132">
        <w:t xml:space="preserve">  υπερβάλλουσα ζήτηση ομολόγων. </w:t>
      </w:r>
    </w:p>
    <w:p w:rsidR="001F2132" w:rsidRDefault="001F2132" w:rsidP="008F47E7">
      <w:r w:rsidRPr="001F2132">
        <w:t xml:space="preserve">γ.  αύξηση του επιτοκίου. </w:t>
      </w:r>
    </w:p>
    <w:p w:rsidR="001F2132" w:rsidRPr="0035501C" w:rsidRDefault="001F2132" w:rsidP="008F47E7">
      <w:r w:rsidRPr="0035501C">
        <w:lastRenderedPageBreak/>
        <w:t>δ.  μείωση της ζήτησης χρήματος.</w:t>
      </w:r>
    </w:p>
    <w:p w:rsidR="00026DF1" w:rsidRDefault="00026DF1" w:rsidP="008F47E7"/>
    <w:p w:rsidR="00026DF1" w:rsidRDefault="00026DF1" w:rsidP="008F47E7">
      <w:r>
        <w:t>5.</w:t>
      </w:r>
      <w:r w:rsidRPr="00026DF1">
        <w:t xml:space="preserve">Άσκηση επεκτατικής δημοσιονομικής πολιτικής, με τη μορφή αυξημένων κρατικών δαπανών, σε μία κλειστή οικονομία, θα προκαλέσει βραχυχρόνια:  </w:t>
      </w:r>
    </w:p>
    <w:p w:rsidR="00026DF1" w:rsidRDefault="00026DF1" w:rsidP="008F47E7">
      <w:r w:rsidRPr="00026DF1">
        <w:t>α.  μείωση του επιτοκίου και αύξηση του προϊόντος.</w:t>
      </w:r>
    </w:p>
    <w:p w:rsidR="00026DF1" w:rsidRDefault="00026DF1" w:rsidP="008F47E7">
      <w:r w:rsidRPr="00026DF1">
        <w:t xml:space="preserve"> </w:t>
      </w:r>
      <w:r w:rsidRPr="00026DF1">
        <w:rPr>
          <w:highlight w:val="yellow"/>
        </w:rPr>
        <w:t>β.</w:t>
      </w:r>
      <w:r w:rsidRPr="00026DF1">
        <w:t xml:space="preserve">  αύξηση του επιτοκίου και μείωση του προϊόντος.</w:t>
      </w:r>
    </w:p>
    <w:p w:rsidR="00026DF1" w:rsidRDefault="00026DF1" w:rsidP="008F47E7">
      <w:r w:rsidRPr="00026DF1">
        <w:t xml:space="preserve"> γ.  καμία μεταβολή στο επιτόκιο και στο προϊόν. </w:t>
      </w:r>
    </w:p>
    <w:p w:rsidR="00026DF1" w:rsidRDefault="00026DF1" w:rsidP="008F47E7">
      <w:r w:rsidRPr="00026DF1">
        <w:t>δ.  αύξηση του επιτοκίου και του προϊόντο</w:t>
      </w:r>
      <w:r>
        <w:t>ς</w:t>
      </w:r>
    </w:p>
    <w:p w:rsidR="00026DF1" w:rsidRDefault="00026DF1" w:rsidP="008F47E7"/>
    <w:p w:rsidR="00026DF1" w:rsidRDefault="00026DF1" w:rsidP="008F47E7">
      <w:pPr>
        <w:rPr>
          <w:rStyle w:val="tlid-translation"/>
        </w:rPr>
      </w:pPr>
      <w:r>
        <w:rPr>
          <w:rStyle w:val="tlid-translation"/>
        </w:rPr>
        <w:t xml:space="preserve">6.Κάθε χρόνο γίνονται όλο και περισσότερες αγορές με πιστωτικές κάρτες στο Διαδίκτυο. Δεδομένης αυτής της τάσης, με όλα τα υπόλοιπα σταθερά , θα περιμέναμε: </w:t>
      </w:r>
    </w:p>
    <w:p w:rsidR="00026DF1" w:rsidRDefault="00026DF1" w:rsidP="008F47E7">
      <w:pPr>
        <w:rPr>
          <w:rStyle w:val="tlid-translation"/>
        </w:rPr>
      </w:pPr>
      <w:r>
        <w:rPr>
          <w:rStyle w:val="tlid-translation"/>
        </w:rPr>
        <w:t xml:space="preserve">α. η καμπύλη ζήτησης χρήματος να μετατοπιστεί προς τα έξω. </w:t>
      </w:r>
    </w:p>
    <w:p w:rsidR="00026DF1" w:rsidRDefault="00026DF1" w:rsidP="008F47E7">
      <w:pPr>
        <w:rPr>
          <w:rStyle w:val="tlid-translation"/>
        </w:rPr>
      </w:pPr>
      <w:r w:rsidRPr="00815D38">
        <w:rPr>
          <w:rStyle w:val="tlid-translation"/>
          <w:highlight w:val="yellow"/>
        </w:rPr>
        <w:t>β</w:t>
      </w:r>
      <w:r>
        <w:rPr>
          <w:rStyle w:val="tlid-translation"/>
        </w:rPr>
        <w:t>.  η καμπύλη ζήτησης χρήματος για μετακίνηση προς τα μέσα.</w:t>
      </w:r>
    </w:p>
    <w:p w:rsidR="00026DF1" w:rsidRDefault="00026DF1" w:rsidP="008F47E7">
      <w:pPr>
        <w:rPr>
          <w:rStyle w:val="tlid-translation"/>
        </w:rPr>
      </w:pPr>
      <w:r>
        <w:rPr>
          <w:rStyle w:val="tlid-translation"/>
        </w:rPr>
        <w:t xml:space="preserve">γ.  μια καθοδική κίνηση κατά μήκος μιας σταθερής καμπύλης ζήτησης χρήματος. </w:t>
      </w:r>
    </w:p>
    <w:p w:rsidR="00026DF1" w:rsidRDefault="00026DF1" w:rsidP="008F47E7">
      <w:pPr>
        <w:rPr>
          <w:rStyle w:val="tlid-translation"/>
        </w:rPr>
      </w:pPr>
      <w:r>
        <w:rPr>
          <w:rStyle w:val="tlid-translation"/>
        </w:rPr>
        <w:t>δ. μια ανοδική κίνηση κατά μήκος μιας καμπύλης σταθερής ζήτησης χρήματος</w:t>
      </w:r>
    </w:p>
    <w:p w:rsidR="008B634F" w:rsidRDefault="008B634F" w:rsidP="008F47E7">
      <w:pPr>
        <w:rPr>
          <w:rStyle w:val="tlid-translation"/>
        </w:rPr>
      </w:pPr>
    </w:p>
    <w:p w:rsidR="008B634F" w:rsidRDefault="00A42AF8" w:rsidP="008F47E7">
      <w:pPr>
        <w:rPr>
          <w:rStyle w:val="tlid-translation"/>
        </w:rPr>
      </w:pPr>
      <w:r w:rsidRPr="00A42AF8">
        <w:rPr>
          <w:rStyle w:val="tlid-translation"/>
        </w:rPr>
        <w:t>7</w:t>
      </w:r>
      <w:r w:rsidR="008B634F">
        <w:rPr>
          <w:rStyle w:val="tlid-translation"/>
        </w:rPr>
        <w:t xml:space="preserve">. Οι τράπεζες δημιουργούν χρήματα όταν: </w:t>
      </w:r>
    </w:p>
    <w:p w:rsidR="008B634F" w:rsidRDefault="008B634F" w:rsidP="008F47E7">
      <w:pPr>
        <w:rPr>
          <w:rStyle w:val="tlid-translation"/>
        </w:rPr>
      </w:pPr>
      <w:r w:rsidRPr="00D803F6">
        <w:rPr>
          <w:rStyle w:val="tlid-translation"/>
          <w:highlight w:val="yellow"/>
        </w:rPr>
        <w:t>α)</w:t>
      </w:r>
      <w:r>
        <w:rPr>
          <w:rStyle w:val="tlid-translation"/>
        </w:rPr>
        <w:t xml:space="preserve"> κάνουν δάνεια. </w:t>
      </w:r>
    </w:p>
    <w:p w:rsidR="008B634F" w:rsidRDefault="008B634F" w:rsidP="008F47E7">
      <w:pPr>
        <w:rPr>
          <w:rStyle w:val="tlid-translation"/>
        </w:rPr>
      </w:pPr>
      <w:r>
        <w:rPr>
          <w:rStyle w:val="tlid-translation"/>
        </w:rPr>
        <w:t xml:space="preserve">α) </w:t>
      </w:r>
      <w:r w:rsidR="005C3241">
        <w:rPr>
          <w:rStyle w:val="tlid-translation"/>
        </w:rPr>
        <w:t>λαμβάνουν καταθέσεις</w:t>
      </w:r>
      <w:r>
        <w:rPr>
          <w:rStyle w:val="tlid-translation"/>
        </w:rPr>
        <w:t>.</w:t>
      </w:r>
    </w:p>
    <w:p w:rsidR="008B634F" w:rsidRDefault="008B634F" w:rsidP="008F47E7">
      <w:pPr>
        <w:rPr>
          <w:rStyle w:val="tlid-translation"/>
        </w:rPr>
      </w:pPr>
      <w:r>
        <w:rPr>
          <w:rStyle w:val="tlid-translation"/>
        </w:rPr>
        <w:t xml:space="preserve"> </w:t>
      </w:r>
      <w:r w:rsidR="005C3241">
        <w:rPr>
          <w:rStyle w:val="tlid-translation"/>
        </w:rPr>
        <w:t xml:space="preserve">γ) κρατούν </w:t>
      </w:r>
      <w:r>
        <w:rPr>
          <w:rStyle w:val="tlid-translation"/>
        </w:rPr>
        <w:t xml:space="preserve">τα πλεονάζοντα αποθεματικά. </w:t>
      </w:r>
    </w:p>
    <w:p w:rsidR="008B634F" w:rsidRDefault="008B634F" w:rsidP="008F47E7">
      <w:pPr>
        <w:rPr>
          <w:rStyle w:val="tlid-translation"/>
        </w:rPr>
      </w:pPr>
      <w:r>
        <w:rPr>
          <w:rStyle w:val="tlid-translation"/>
        </w:rPr>
        <w:t>δ) πληρώνουν αναλήψεις σε καταθέτες.</w:t>
      </w:r>
    </w:p>
    <w:p w:rsidR="00AE6FD3" w:rsidRDefault="00AE6FD3" w:rsidP="008F47E7">
      <w:pPr>
        <w:rPr>
          <w:rStyle w:val="tlid-translation"/>
        </w:rPr>
      </w:pPr>
    </w:p>
    <w:p w:rsidR="00AE6FD3" w:rsidRDefault="00A42AF8" w:rsidP="008F47E7">
      <w:pPr>
        <w:rPr>
          <w:rStyle w:val="tlid-translation"/>
        </w:rPr>
      </w:pPr>
      <w:r w:rsidRPr="00D803F6">
        <w:rPr>
          <w:rStyle w:val="tlid-translation"/>
        </w:rPr>
        <w:t>8</w:t>
      </w:r>
      <w:r w:rsidR="00AE6FD3">
        <w:rPr>
          <w:rStyle w:val="tlid-translation"/>
        </w:rPr>
        <w:t>.</w:t>
      </w:r>
      <w:r w:rsidR="00AE6FD3" w:rsidRPr="00AE6FD3">
        <w:rPr>
          <w:rStyle w:val="tlid-translation"/>
        </w:rPr>
        <w:t xml:space="preserve"> </w:t>
      </w:r>
      <w:r w:rsidR="00AE6FD3">
        <w:rPr>
          <w:rStyle w:val="tlid-translation"/>
        </w:rPr>
        <w:t xml:space="preserve"> Το διαθέσιμο εισόδημα της Αλίκης αυξάνεται κατά 1.000 $ και ξοδεύει 600 $ από αυτό. Alice's: </w:t>
      </w:r>
    </w:p>
    <w:p w:rsidR="00AE6FD3" w:rsidRDefault="00AE6FD3" w:rsidP="008F47E7">
      <w:pPr>
        <w:rPr>
          <w:rStyle w:val="tlid-translation"/>
        </w:rPr>
      </w:pPr>
      <w:r w:rsidRPr="00D803F6">
        <w:rPr>
          <w:rStyle w:val="tlid-translation"/>
          <w:highlight w:val="yellow"/>
        </w:rPr>
        <w:t>α)</w:t>
      </w:r>
      <w:r>
        <w:rPr>
          <w:rStyle w:val="tlid-translation"/>
        </w:rPr>
        <w:t xml:space="preserve"> Το MPS είναι 0,4 και εξοικονομεί 400 $.</w:t>
      </w:r>
    </w:p>
    <w:p w:rsidR="00AE6FD3" w:rsidRDefault="00AE6FD3" w:rsidP="008F47E7">
      <w:pPr>
        <w:rPr>
          <w:rStyle w:val="tlid-translation"/>
        </w:rPr>
      </w:pPr>
      <w:r>
        <w:rPr>
          <w:rStyle w:val="tlid-translation"/>
        </w:rPr>
        <w:t>β) Το MPC είναι 0,4 και εξοικονομεί 400 $.</w:t>
      </w:r>
    </w:p>
    <w:p w:rsidR="00AE6FD3" w:rsidRDefault="00AE6FD3" w:rsidP="008F47E7">
      <w:pPr>
        <w:rPr>
          <w:rStyle w:val="tlid-translation"/>
        </w:rPr>
      </w:pPr>
      <w:r>
        <w:rPr>
          <w:rStyle w:val="tlid-translation"/>
        </w:rPr>
        <w:t xml:space="preserve"> γ) Το MPS είναι 0,4 και εξοικονομεί 600 $.</w:t>
      </w:r>
    </w:p>
    <w:p w:rsidR="00AE6FD3" w:rsidRDefault="00AE6FD3" w:rsidP="008F47E7">
      <w:pPr>
        <w:rPr>
          <w:rStyle w:val="tlid-translation"/>
        </w:rPr>
      </w:pPr>
      <w:r>
        <w:rPr>
          <w:rStyle w:val="tlid-translation"/>
        </w:rPr>
        <w:t xml:space="preserve"> δ) Το MPC είναι 0,6 και καταναλώνει 400 $.</w:t>
      </w:r>
    </w:p>
    <w:p w:rsidR="00B10B07" w:rsidRDefault="00B10B07" w:rsidP="008F47E7">
      <w:pPr>
        <w:rPr>
          <w:rStyle w:val="tlid-translation"/>
        </w:rPr>
      </w:pPr>
    </w:p>
    <w:p w:rsidR="00B10B07" w:rsidRDefault="00A42AF8" w:rsidP="008F47E7">
      <w:pPr>
        <w:rPr>
          <w:rStyle w:val="tlid-translation"/>
        </w:rPr>
      </w:pPr>
      <w:r w:rsidRPr="00A42AF8">
        <w:rPr>
          <w:rStyle w:val="tlid-translation"/>
        </w:rPr>
        <w:lastRenderedPageBreak/>
        <w:t>9</w:t>
      </w:r>
      <w:r w:rsidR="00B10B07">
        <w:rPr>
          <w:rStyle w:val="tlid-translation"/>
        </w:rPr>
        <w:t xml:space="preserve">.Ας υποθέσουμε ότι η οριακή τάση για κατανάλωση μεταβολών από 0,75 σε 0,9. Πώς αυτό θα επηρεάσει τη λειτουργία κατανάλωσης; </w:t>
      </w:r>
    </w:p>
    <w:p w:rsidR="00B10B07" w:rsidRDefault="00B10B07" w:rsidP="008F47E7">
      <w:pPr>
        <w:rPr>
          <w:rStyle w:val="tlid-translation"/>
        </w:rPr>
      </w:pPr>
      <w:r w:rsidRPr="00D803F6">
        <w:rPr>
          <w:rStyle w:val="tlid-translation"/>
          <w:b/>
          <w:highlight w:val="yellow"/>
        </w:rPr>
        <w:t>α)</w:t>
      </w:r>
      <w:r>
        <w:rPr>
          <w:rStyle w:val="tlid-translation"/>
        </w:rPr>
        <w:t xml:space="preserve"> Η κλίση θα γίνει πιο απότομη.</w:t>
      </w:r>
    </w:p>
    <w:p w:rsidR="00B10B07" w:rsidRDefault="00B10B07" w:rsidP="008F47E7">
      <w:pPr>
        <w:rPr>
          <w:rStyle w:val="tlid-translation"/>
        </w:rPr>
      </w:pPr>
      <w:r>
        <w:rPr>
          <w:rStyle w:val="tlid-translation"/>
        </w:rPr>
        <w:t xml:space="preserve"> β) Η αυτόνομη κατανάλωση θα αυξηθεί.</w:t>
      </w:r>
    </w:p>
    <w:p w:rsidR="00B10B07" w:rsidRDefault="00B10B07" w:rsidP="008F47E7">
      <w:pPr>
        <w:rPr>
          <w:rStyle w:val="tlid-translation"/>
        </w:rPr>
      </w:pPr>
      <w:r>
        <w:rPr>
          <w:rStyle w:val="tlid-translation"/>
        </w:rPr>
        <w:t xml:space="preserve"> γ) Η λειτουργία θα μετακινηθεί προς τα πάνω. </w:t>
      </w:r>
    </w:p>
    <w:p w:rsidR="00B10B07" w:rsidRDefault="00B10B07" w:rsidP="008F47E7">
      <w:pPr>
        <w:rPr>
          <w:rStyle w:val="tlid-translation"/>
        </w:rPr>
      </w:pPr>
      <w:r>
        <w:rPr>
          <w:rStyle w:val="tlid-translation"/>
        </w:rPr>
        <w:t>δ) Η κλίση θα γίνει πιο απότομη και η αυτόνομη κατανάλωση θα αυξηθεί.</w:t>
      </w:r>
    </w:p>
    <w:p w:rsidR="00497913" w:rsidRDefault="00497913" w:rsidP="008F47E7">
      <w:pPr>
        <w:rPr>
          <w:rStyle w:val="tlid-translation"/>
        </w:rPr>
      </w:pPr>
    </w:p>
    <w:p w:rsidR="00497913" w:rsidRPr="00562F10" w:rsidRDefault="00A42AF8" w:rsidP="008F47E7">
      <w:pPr>
        <w:rPr>
          <w:rStyle w:val="tlid-translation"/>
        </w:rPr>
      </w:pPr>
      <w:r>
        <w:rPr>
          <w:rStyle w:val="tlid-translation"/>
        </w:rPr>
        <w:t>10</w:t>
      </w:r>
      <w:r w:rsidR="00497913">
        <w:rPr>
          <w:rStyle w:val="tlid-translation"/>
        </w:rPr>
        <w:t>.Μια προσωρινή ανεργία που υπάρχει κατά την περίοδο της μεταφοράς εργασίας από το ένα επάγγελμα σ</w:t>
      </w:r>
      <w:r w:rsidR="00562F10">
        <w:rPr>
          <w:rStyle w:val="tlid-translation"/>
        </w:rPr>
        <w:t xml:space="preserve">το άλλο ονομάζεται </w:t>
      </w:r>
    </w:p>
    <w:p w:rsidR="00497913" w:rsidRDefault="00497913" w:rsidP="008F47E7">
      <w:pPr>
        <w:rPr>
          <w:rStyle w:val="tlid-translation"/>
        </w:rPr>
      </w:pPr>
      <w:r>
        <w:rPr>
          <w:rStyle w:val="tlid-translation"/>
        </w:rPr>
        <w:t xml:space="preserve"> α. Εθελοντική ανεργία </w:t>
      </w:r>
    </w:p>
    <w:p w:rsidR="00497913" w:rsidRDefault="00497913" w:rsidP="008F47E7">
      <w:pPr>
        <w:rPr>
          <w:rStyle w:val="tlid-translation"/>
        </w:rPr>
      </w:pPr>
      <w:r>
        <w:rPr>
          <w:rStyle w:val="tlid-translation"/>
        </w:rPr>
        <w:t xml:space="preserve">β. Ακούσια ανεργία </w:t>
      </w:r>
    </w:p>
    <w:p w:rsidR="00497913" w:rsidRDefault="00497913" w:rsidP="008F47E7">
      <w:pPr>
        <w:rPr>
          <w:rStyle w:val="tlid-translation"/>
        </w:rPr>
      </w:pPr>
      <w:r>
        <w:rPr>
          <w:rStyle w:val="tlid-translation"/>
        </w:rPr>
        <w:t xml:space="preserve">γ. Κυκλική ανεργία </w:t>
      </w:r>
    </w:p>
    <w:p w:rsidR="00497913" w:rsidRDefault="00497913" w:rsidP="008F47E7">
      <w:pPr>
        <w:rPr>
          <w:rStyle w:val="tlid-translation"/>
        </w:rPr>
      </w:pPr>
      <w:r w:rsidRPr="00D803F6">
        <w:rPr>
          <w:rStyle w:val="tlid-translation"/>
          <w:highlight w:val="yellow"/>
        </w:rPr>
        <w:t>δ</w:t>
      </w:r>
      <w:r>
        <w:rPr>
          <w:rStyle w:val="tlid-translation"/>
        </w:rPr>
        <w:t xml:space="preserve">. Ανεργία τριβής </w:t>
      </w:r>
    </w:p>
    <w:p w:rsidR="00497913" w:rsidRDefault="00497913" w:rsidP="008F47E7">
      <w:pPr>
        <w:rPr>
          <w:rStyle w:val="tlid-translation"/>
        </w:rPr>
      </w:pPr>
    </w:p>
    <w:p w:rsidR="00497913" w:rsidRDefault="00497913" w:rsidP="00497913"/>
    <w:p w:rsidR="00497913" w:rsidRDefault="00A42AF8" w:rsidP="00497913">
      <w:pPr>
        <w:rPr>
          <w:rStyle w:val="tlid-translation"/>
        </w:rPr>
      </w:pPr>
      <w:r>
        <w:rPr>
          <w:rStyle w:val="tlid-translation"/>
        </w:rPr>
        <w:t xml:space="preserve"> 1</w:t>
      </w:r>
      <w:r w:rsidRPr="00A42AF8">
        <w:rPr>
          <w:rStyle w:val="tlid-translation"/>
        </w:rPr>
        <w:t>1</w:t>
      </w:r>
      <w:r w:rsidR="00497913">
        <w:rPr>
          <w:rStyle w:val="tlid-translation"/>
        </w:rPr>
        <w:t xml:space="preserve">.Όπως φαίνεται στο Διάγραμμα 1, η αυτόνομη κατανάλωση είναι: </w:t>
      </w:r>
    </w:p>
    <w:p w:rsidR="00497913" w:rsidRDefault="00497913" w:rsidP="00497913">
      <w:pPr>
        <w:rPr>
          <w:rStyle w:val="tlid-translation"/>
        </w:rPr>
      </w:pPr>
      <w:r>
        <w:rPr>
          <w:rStyle w:val="tlid-translation"/>
        </w:rPr>
        <w:t>α. 0.</w:t>
      </w:r>
    </w:p>
    <w:p w:rsidR="00497913" w:rsidRDefault="00497913" w:rsidP="00497913">
      <w:pPr>
        <w:rPr>
          <w:rStyle w:val="tlid-translation"/>
        </w:rPr>
      </w:pPr>
      <w:r w:rsidRPr="00274057">
        <w:rPr>
          <w:rStyle w:val="tlid-translation"/>
          <w:highlight w:val="yellow"/>
        </w:rPr>
        <w:t>β</w:t>
      </w:r>
      <w:r>
        <w:rPr>
          <w:rStyle w:val="tlid-translation"/>
        </w:rPr>
        <w:t>. 2 τρισεκατομμύρια δολάρια</w:t>
      </w:r>
    </w:p>
    <w:p w:rsidR="00497913" w:rsidRDefault="00497913" w:rsidP="00497913">
      <w:pPr>
        <w:rPr>
          <w:rStyle w:val="tlid-translation"/>
        </w:rPr>
      </w:pPr>
      <w:r>
        <w:rPr>
          <w:rStyle w:val="tlid-translation"/>
        </w:rPr>
        <w:t>γ. 4 τρισεκατομμύρια δολάρια.</w:t>
      </w:r>
    </w:p>
    <w:p w:rsidR="00497913" w:rsidRDefault="00497913" w:rsidP="00497913">
      <w:pPr>
        <w:rPr>
          <w:rStyle w:val="tlid-translation"/>
        </w:rPr>
      </w:pPr>
      <w:r>
        <w:rPr>
          <w:rStyle w:val="tlid-translation"/>
        </w:rPr>
        <w:t xml:space="preserve">δ. 6 τρισεκατομμύρια δολάρια. </w:t>
      </w:r>
    </w:p>
    <w:p w:rsidR="00497913" w:rsidRDefault="00497913" w:rsidP="00497913">
      <w:r>
        <w:rPr>
          <w:rStyle w:val="tlid-translation"/>
        </w:rPr>
        <w:t>ε.8 τρισεκατομμύρια δολάρια.</w:t>
      </w:r>
      <w:r w:rsidRPr="00497913">
        <w:t xml:space="preserve"> </w:t>
      </w:r>
    </w:p>
    <w:p w:rsidR="00497913" w:rsidRPr="00497913" w:rsidRDefault="00497913" w:rsidP="00497913">
      <w:pPr>
        <w:rPr>
          <w:lang w:val="en-US"/>
        </w:rPr>
      </w:pPr>
      <w:r>
        <w:rPr>
          <w:rStyle w:val="tlid-translation"/>
        </w:rPr>
        <w:t>Διάγραμμα- 1 :Συνάρτηση κατανάλωσης</w:t>
      </w:r>
      <w:r w:rsidRPr="00497913">
        <w:rPr>
          <w:lang w:val="en-US"/>
        </w:rPr>
        <w:t xml:space="preserve"> </w:t>
      </w:r>
    </w:p>
    <w:p w:rsidR="00497913" w:rsidRDefault="00497913" w:rsidP="00497913">
      <w:r>
        <w:rPr>
          <w:noProof/>
          <w:lang w:eastAsia="el-GR"/>
        </w:rPr>
        <w:drawing>
          <wp:inline distT="0" distB="0" distL="0" distR="0">
            <wp:extent cx="3267075" cy="14859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4A" w:rsidRDefault="001E0C4A" w:rsidP="00497913"/>
    <w:p w:rsidR="001E0C4A" w:rsidRDefault="00A42AF8" w:rsidP="00497913">
      <w:pPr>
        <w:rPr>
          <w:rStyle w:val="tlid-translation"/>
        </w:rPr>
      </w:pPr>
      <w:r>
        <w:rPr>
          <w:rStyle w:val="tlid-translation"/>
        </w:rPr>
        <w:lastRenderedPageBreak/>
        <w:t>1</w:t>
      </w:r>
      <w:r w:rsidRPr="00A42AF8">
        <w:rPr>
          <w:rStyle w:val="tlid-translation"/>
        </w:rPr>
        <w:t>2</w:t>
      </w:r>
      <w:r w:rsidR="001E0C4A">
        <w:rPr>
          <w:rStyle w:val="tlid-translation"/>
        </w:rPr>
        <w:t xml:space="preserve">. Όπως φαίνεται στο Διάγραμμα 3, η οριακή τάση κατανάλωσης (MPC) είναι: </w:t>
      </w:r>
    </w:p>
    <w:p w:rsidR="001E0C4A" w:rsidRDefault="001E0C4A" w:rsidP="00497913">
      <w:pPr>
        <w:rPr>
          <w:rStyle w:val="tlid-translation"/>
        </w:rPr>
      </w:pPr>
      <w:r>
        <w:rPr>
          <w:rStyle w:val="tlid-translation"/>
        </w:rPr>
        <w:t xml:space="preserve"> α. 0,25.</w:t>
      </w:r>
    </w:p>
    <w:p w:rsidR="001E0C4A" w:rsidRDefault="001E0C4A" w:rsidP="00497913">
      <w:pPr>
        <w:rPr>
          <w:rStyle w:val="tlid-translation"/>
        </w:rPr>
      </w:pPr>
      <w:r>
        <w:rPr>
          <w:rStyle w:val="tlid-translation"/>
        </w:rPr>
        <w:t xml:space="preserve"> </w:t>
      </w:r>
      <w:r w:rsidRPr="00B10224">
        <w:rPr>
          <w:rStyle w:val="tlid-translation"/>
          <w:highlight w:val="yellow"/>
        </w:rPr>
        <w:t>β.</w:t>
      </w:r>
      <w:r>
        <w:rPr>
          <w:rStyle w:val="tlid-translation"/>
        </w:rPr>
        <w:t xml:space="preserve"> 0,50. </w:t>
      </w:r>
    </w:p>
    <w:p w:rsidR="001E0C4A" w:rsidRDefault="001E0C4A" w:rsidP="00497913">
      <w:pPr>
        <w:rPr>
          <w:rStyle w:val="tlid-translation"/>
        </w:rPr>
      </w:pPr>
      <w:r>
        <w:rPr>
          <w:rStyle w:val="tlid-translation"/>
        </w:rPr>
        <w:t xml:space="preserve">γ. 0,75. </w:t>
      </w:r>
    </w:p>
    <w:p w:rsidR="001E0C4A" w:rsidRDefault="001E0C4A" w:rsidP="00497913">
      <w:r>
        <w:rPr>
          <w:rStyle w:val="tlid-translation"/>
        </w:rPr>
        <w:t>δ. 0,90.</w:t>
      </w:r>
    </w:p>
    <w:p w:rsidR="001E0C4A" w:rsidRDefault="001E0C4A" w:rsidP="00497913">
      <w:pPr>
        <w:rPr>
          <w:rStyle w:val="tlid-translation"/>
        </w:rPr>
      </w:pPr>
      <w:r>
        <w:rPr>
          <w:rStyle w:val="tlid-translation"/>
        </w:rPr>
        <w:t>Διάγραμμα - 3 : Συνάρτηση κατανάλωσης</w:t>
      </w:r>
    </w:p>
    <w:p w:rsidR="001E0C4A" w:rsidRDefault="001E0C4A" w:rsidP="00497913">
      <w:r>
        <w:rPr>
          <w:noProof/>
          <w:lang w:eastAsia="el-GR"/>
        </w:rPr>
        <w:drawing>
          <wp:inline distT="0" distB="0" distL="0" distR="0">
            <wp:extent cx="4302394" cy="1905000"/>
            <wp:effectExtent l="19050" t="0" r="2906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94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C4A" w:rsidRPr="001E0C4A" w:rsidRDefault="001E0C4A" w:rsidP="001E0C4A"/>
    <w:p w:rsidR="0016610E" w:rsidRDefault="00A42AF8" w:rsidP="00DD7035">
      <w:pPr>
        <w:jc w:val="both"/>
        <w:rPr>
          <w:rStyle w:val="tlid-translation"/>
        </w:rPr>
      </w:pPr>
      <w:r>
        <w:rPr>
          <w:rStyle w:val="tlid-translation"/>
        </w:rPr>
        <w:t>13</w:t>
      </w:r>
      <w:r w:rsidR="0016610E">
        <w:rPr>
          <w:rStyle w:val="tlid-translation"/>
        </w:rPr>
        <w:t xml:space="preserve">. Η αλλαγή του επιπέδου των κρατικών δαπανών είναι ένα παράδειγμα: </w:t>
      </w:r>
    </w:p>
    <w:p w:rsidR="0016610E" w:rsidRDefault="0016610E" w:rsidP="00DD7035">
      <w:pPr>
        <w:jc w:val="both"/>
        <w:rPr>
          <w:rStyle w:val="tlid-translation"/>
        </w:rPr>
      </w:pPr>
      <w:r w:rsidRPr="00D803F6">
        <w:rPr>
          <w:rStyle w:val="tlid-translation"/>
          <w:highlight w:val="yellow"/>
        </w:rPr>
        <w:t>α)</w:t>
      </w:r>
      <w:r>
        <w:rPr>
          <w:rStyle w:val="tlid-translation"/>
        </w:rPr>
        <w:t xml:space="preserve"> δημοσιονομικής πολιτικής.</w:t>
      </w:r>
    </w:p>
    <w:p w:rsidR="0016610E" w:rsidRDefault="0016610E" w:rsidP="00DD7035">
      <w:pPr>
        <w:jc w:val="both"/>
        <w:rPr>
          <w:rStyle w:val="tlid-translation"/>
        </w:rPr>
      </w:pPr>
      <w:r>
        <w:rPr>
          <w:rStyle w:val="tlid-translation"/>
        </w:rPr>
        <w:t xml:space="preserve"> β) πολιτική επιτοκίων. </w:t>
      </w:r>
    </w:p>
    <w:p w:rsidR="0016610E" w:rsidRDefault="0016610E" w:rsidP="00DD7035">
      <w:pPr>
        <w:jc w:val="both"/>
        <w:rPr>
          <w:rStyle w:val="tlid-translation"/>
        </w:rPr>
      </w:pPr>
      <w:r>
        <w:rPr>
          <w:rStyle w:val="tlid-translation"/>
        </w:rPr>
        <w:t>γ) νομισματική πολιτική.</w:t>
      </w:r>
    </w:p>
    <w:p w:rsidR="001E0C4A" w:rsidRDefault="0016610E" w:rsidP="00DD7035">
      <w:pPr>
        <w:jc w:val="both"/>
        <w:rPr>
          <w:rStyle w:val="tlid-translation"/>
        </w:rPr>
      </w:pPr>
      <w:r>
        <w:rPr>
          <w:rStyle w:val="tlid-translation"/>
        </w:rPr>
        <w:t xml:space="preserve"> δ) πολιτική συναλλαγματικών ισοτιμιών.</w:t>
      </w:r>
    </w:p>
    <w:p w:rsidR="006B62E5" w:rsidRDefault="006B62E5" w:rsidP="00DD7035">
      <w:pPr>
        <w:jc w:val="both"/>
        <w:rPr>
          <w:rStyle w:val="tlid-translation"/>
        </w:rPr>
      </w:pPr>
    </w:p>
    <w:p w:rsidR="006B62E5" w:rsidRDefault="00CF2E10" w:rsidP="006B62E5">
      <w:r>
        <w:t xml:space="preserve">14. </w:t>
      </w:r>
      <w:r w:rsidR="006B62E5">
        <w:t>Όταν αυξάνεται το επιτόκιο, η ζήτηση για επενδύσεις:</w:t>
      </w:r>
    </w:p>
    <w:p w:rsidR="006B62E5" w:rsidRDefault="006B62E5" w:rsidP="006B62E5">
      <w:r>
        <w:t xml:space="preserve"> α. αυξάνεται, διότι αυξάνεται η καθαρή παρούσα αξία των επενδύσεων</w:t>
      </w:r>
    </w:p>
    <w:p w:rsidR="006B62E5" w:rsidRDefault="006B62E5" w:rsidP="006B62E5">
      <w:r>
        <w:t xml:space="preserve"> β. µειώνεται, διότι µειώνεται ο εσωτερικός συντελεστής απόδοσης των επενδύσεων </w:t>
      </w:r>
    </w:p>
    <w:p w:rsidR="006B62E5" w:rsidRDefault="006B62E5" w:rsidP="006B62E5">
      <w:r>
        <w:t>γ. αυξάνεται, διότι µειώνεται η καθαρή παρούσα αξία των επενδύσεων</w:t>
      </w:r>
    </w:p>
    <w:p w:rsidR="006B62E5" w:rsidRDefault="006B62E5" w:rsidP="006B62E5">
      <w:r w:rsidRPr="00134A3A">
        <w:rPr>
          <w:highlight w:val="yellow"/>
        </w:rPr>
        <w:t>δ.</w:t>
      </w:r>
      <w:r>
        <w:t xml:space="preserve"> µειώνεται, διότι µειώνεται η καθαρή παρούσα αξία των επενδύσεων </w:t>
      </w:r>
    </w:p>
    <w:p w:rsidR="006B62E5" w:rsidRDefault="006B62E5" w:rsidP="006B62E5">
      <w:r>
        <w:t xml:space="preserve">ε. ισχύουν τα (β) και (δ) </w:t>
      </w:r>
    </w:p>
    <w:p w:rsidR="0016610E" w:rsidRDefault="0016610E" w:rsidP="00DD7035">
      <w:pPr>
        <w:jc w:val="both"/>
      </w:pPr>
    </w:p>
    <w:p w:rsidR="001E0C4A" w:rsidRPr="001E0C4A" w:rsidRDefault="001E0C4A" w:rsidP="001E0C4A"/>
    <w:sectPr w:rsidR="001E0C4A" w:rsidRPr="001E0C4A" w:rsidSect="00E9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B2" w:rsidRDefault="000838B2" w:rsidP="001E0C4A">
      <w:pPr>
        <w:spacing w:after="0" w:line="240" w:lineRule="auto"/>
      </w:pPr>
      <w:r>
        <w:separator/>
      </w:r>
    </w:p>
  </w:endnote>
  <w:endnote w:type="continuationSeparator" w:id="1">
    <w:p w:rsidR="000838B2" w:rsidRDefault="000838B2" w:rsidP="001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B2" w:rsidRDefault="000838B2" w:rsidP="001E0C4A">
      <w:pPr>
        <w:spacing w:after="0" w:line="240" w:lineRule="auto"/>
      </w:pPr>
      <w:r>
        <w:separator/>
      </w:r>
    </w:p>
  </w:footnote>
  <w:footnote w:type="continuationSeparator" w:id="1">
    <w:p w:rsidR="000838B2" w:rsidRDefault="000838B2" w:rsidP="001E0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7E7"/>
    <w:rsid w:val="00026DF1"/>
    <w:rsid w:val="00035826"/>
    <w:rsid w:val="00063653"/>
    <w:rsid w:val="000838B2"/>
    <w:rsid w:val="000C4863"/>
    <w:rsid w:val="0016610E"/>
    <w:rsid w:val="001778EB"/>
    <w:rsid w:val="001C170E"/>
    <w:rsid w:val="001E0C4A"/>
    <w:rsid w:val="001F2132"/>
    <w:rsid w:val="0027150E"/>
    <w:rsid w:val="00274057"/>
    <w:rsid w:val="0035501C"/>
    <w:rsid w:val="00497913"/>
    <w:rsid w:val="00562F10"/>
    <w:rsid w:val="005C3241"/>
    <w:rsid w:val="006B62E5"/>
    <w:rsid w:val="00715656"/>
    <w:rsid w:val="00815D38"/>
    <w:rsid w:val="008B634F"/>
    <w:rsid w:val="008F47E7"/>
    <w:rsid w:val="00967C67"/>
    <w:rsid w:val="009F1CB3"/>
    <w:rsid w:val="00A42AF8"/>
    <w:rsid w:val="00AE6FD3"/>
    <w:rsid w:val="00B10224"/>
    <w:rsid w:val="00B10B07"/>
    <w:rsid w:val="00B551CA"/>
    <w:rsid w:val="00B64953"/>
    <w:rsid w:val="00CC2A75"/>
    <w:rsid w:val="00CF2E10"/>
    <w:rsid w:val="00D803F6"/>
    <w:rsid w:val="00DD7035"/>
    <w:rsid w:val="00E27879"/>
    <w:rsid w:val="00E908FA"/>
    <w:rsid w:val="00E9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026DF1"/>
  </w:style>
  <w:style w:type="paragraph" w:styleId="a3">
    <w:name w:val="Balloon Text"/>
    <w:basedOn w:val="a"/>
    <w:link w:val="Char"/>
    <w:uiPriority w:val="99"/>
    <w:semiHidden/>
    <w:unhideWhenUsed/>
    <w:rsid w:val="0049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791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E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1E0C4A"/>
  </w:style>
  <w:style w:type="paragraph" w:styleId="a5">
    <w:name w:val="footer"/>
    <w:basedOn w:val="a"/>
    <w:link w:val="Char1"/>
    <w:uiPriority w:val="99"/>
    <w:semiHidden/>
    <w:unhideWhenUsed/>
    <w:rsid w:val="001E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1E0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699D-D205-4DF2-B53E-0170795B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2020-05-24T17:49:00Z</dcterms:created>
  <dcterms:modified xsi:type="dcterms:W3CDTF">2020-05-24T17:58:00Z</dcterms:modified>
</cp:coreProperties>
</file>