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F11" w:rsidRPr="00A5157E" w:rsidRDefault="00811F11" w:rsidP="00811F11">
      <w:pPr>
        <w:spacing w:before="60" w:after="60" w:line="360" w:lineRule="auto"/>
        <w:jc w:val="center"/>
        <w:rPr>
          <w:rFonts w:ascii="Bookman Old Style" w:hAnsi="Bookman Old Style" w:cs="Tahoma"/>
          <w:color w:val="000000"/>
          <w:sz w:val="24"/>
          <w:szCs w:val="24"/>
        </w:rPr>
      </w:pPr>
      <w:r>
        <w:rPr>
          <w:rFonts w:ascii="Bookman Old Style" w:hAnsi="Bookman Old Style" w:cs="Tahoma"/>
          <w:noProof/>
          <w:color w:val="000000"/>
          <w:sz w:val="24"/>
          <w:szCs w:val="24"/>
          <w:lang w:eastAsia="el-GR"/>
        </w:rPr>
        <w:drawing>
          <wp:inline distT="0" distB="0" distL="0" distR="0">
            <wp:extent cx="933450" cy="762000"/>
            <wp:effectExtent l="0" t="0" r="0" b="0"/>
            <wp:docPr id="1" name="Εικόνα 1" descr="PE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descr="PEL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450" cy="762000"/>
                    </a:xfrm>
                    <a:prstGeom prst="rect">
                      <a:avLst/>
                    </a:prstGeom>
                    <a:noFill/>
                    <a:ln>
                      <a:noFill/>
                    </a:ln>
                  </pic:spPr>
                </pic:pic>
              </a:graphicData>
            </a:graphic>
          </wp:inline>
        </w:drawing>
      </w:r>
      <w:r w:rsidRPr="00A5157E">
        <w:rPr>
          <w:rFonts w:ascii="Bookman Old Style" w:hAnsi="Bookman Old Style" w:cs="Tahoma"/>
          <w:color w:val="000000"/>
          <w:sz w:val="24"/>
          <w:szCs w:val="24"/>
        </w:rPr>
        <w:t xml:space="preserve"> </w:t>
      </w:r>
    </w:p>
    <w:p w:rsidR="00811F11" w:rsidRPr="00A5157E" w:rsidRDefault="00811F11" w:rsidP="00811F11">
      <w:pPr>
        <w:spacing w:before="60" w:after="60" w:line="240" w:lineRule="auto"/>
        <w:jc w:val="center"/>
        <w:rPr>
          <w:rFonts w:ascii="Bookman Old Style" w:hAnsi="Bookman Old Style" w:cs="Tahoma"/>
          <w:color w:val="000000"/>
          <w:sz w:val="24"/>
          <w:szCs w:val="24"/>
        </w:rPr>
      </w:pPr>
      <w:r w:rsidRPr="00A5157E">
        <w:rPr>
          <w:rFonts w:ascii="Bookman Old Style" w:hAnsi="Bookman Old Style" w:cs="Tahoma"/>
          <w:color w:val="000000"/>
          <w:sz w:val="24"/>
          <w:szCs w:val="24"/>
        </w:rPr>
        <w:t>ΠΑΝΕΠΙΣΤΗΜΙΟ ΠΕΛΟΠΟΝΝΗΣΟΥ</w:t>
      </w:r>
    </w:p>
    <w:p w:rsidR="00204610" w:rsidRDefault="00811F11" w:rsidP="00811F11">
      <w:pPr>
        <w:spacing w:before="60" w:after="60" w:line="240" w:lineRule="auto"/>
        <w:jc w:val="center"/>
        <w:rPr>
          <w:rFonts w:ascii="Bookman Old Style" w:hAnsi="Bookman Old Style" w:cs="Tahoma"/>
          <w:color w:val="000000"/>
          <w:sz w:val="24"/>
          <w:szCs w:val="24"/>
        </w:rPr>
      </w:pPr>
      <w:r w:rsidRPr="00A5157E">
        <w:rPr>
          <w:rFonts w:ascii="Bookman Old Style" w:hAnsi="Bookman Old Style" w:cs="Tahoma"/>
          <w:color w:val="000000"/>
          <w:sz w:val="24"/>
          <w:szCs w:val="24"/>
        </w:rPr>
        <w:t>ΤΜΗΜΑ ΟΙΚΟΝΟΜΙΚΩΝ ΕΠΙΣΤΗΜΩΝ</w:t>
      </w:r>
    </w:p>
    <w:p w:rsidR="00811F11" w:rsidRPr="00204610" w:rsidRDefault="00811F11" w:rsidP="00811F11">
      <w:pPr>
        <w:spacing w:before="60" w:after="60" w:line="240" w:lineRule="auto"/>
        <w:jc w:val="center"/>
        <w:rPr>
          <w:rFonts w:ascii="Bookman Old Style" w:hAnsi="Bookman Old Style" w:cs="Tahoma"/>
          <w:color w:val="000000"/>
          <w:sz w:val="24"/>
          <w:szCs w:val="24"/>
        </w:rPr>
      </w:pPr>
    </w:p>
    <w:p w:rsidR="00811F11" w:rsidRDefault="006337D1" w:rsidP="00811F11">
      <w:r>
        <w:pict>
          <v:rect id="_x0000_i1025" style="width:0;height:1.5pt" o:hralign="center" o:hrstd="t" o:hr="t" fillcolor="#a0a0a0" stroked="f"/>
        </w:pict>
      </w:r>
    </w:p>
    <w:p w:rsidR="00811F11" w:rsidRPr="00B96739" w:rsidRDefault="00B96739" w:rsidP="00811F11">
      <w:pPr>
        <w:jc w:val="center"/>
        <w:rPr>
          <w:b/>
          <w:sz w:val="28"/>
          <w:szCs w:val="36"/>
        </w:rPr>
      </w:pPr>
      <w:r w:rsidRPr="00B96739">
        <w:rPr>
          <w:b/>
          <w:sz w:val="28"/>
          <w:szCs w:val="36"/>
        </w:rPr>
        <w:t>ΦΟΡΟΛΟΓΙΑ ΚΑΙ ΦΟΡΟΛΟΓΙΚΗ ΠΟΛΙΤΙΚΗ ΣΤΗΝ ΕΛΛΑΔΑ</w:t>
      </w:r>
    </w:p>
    <w:p w:rsidR="007F18B4" w:rsidRPr="007F18B4" w:rsidRDefault="007F18B4" w:rsidP="007F18B4">
      <w:pPr>
        <w:spacing w:after="0" w:line="240" w:lineRule="auto"/>
      </w:pPr>
      <w:r w:rsidRPr="007F18B4">
        <w:rPr>
          <w:b/>
        </w:rPr>
        <w:t>Ακαδημαϊκό έτος:</w:t>
      </w:r>
      <w:r>
        <w:t xml:space="preserve"> 201</w:t>
      </w:r>
      <w:r w:rsidR="00A35519">
        <w:t>8</w:t>
      </w:r>
      <w:r w:rsidR="00913D8F">
        <w:t>-19</w:t>
      </w:r>
    </w:p>
    <w:p w:rsidR="007F18B4" w:rsidRDefault="007F18B4" w:rsidP="007F18B4">
      <w:pPr>
        <w:spacing w:after="0" w:line="240" w:lineRule="auto"/>
        <w:rPr>
          <w:b/>
        </w:rPr>
      </w:pPr>
    </w:p>
    <w:p w:rsidR="007F18B4" w:rsidRPr="007F18B4" w:rsidRDefault="00165674" w:rsidP="007F18B4">
      <w:pPr>
        <w:spacing w:after="0" w:line="240" w:lineRule="auto"/>
        <w:rPr>
          <w:b/>
        </w:rPr>
      </w:pPr>
      <w:r>
        <w:rPr>
          <w:b/>
        </w:rPr>
        <w:t>Διδάσκων</w:t>
      </w:r>
      <w:r w:rsidR="007F18B4" w:rsidRPr="007F18B4">
        <w:rPr>
          <w:b/>
        </w:rPr>
        <w:t>:</w:t>
      </w:r>
    </w:p>
    <w:p w:rsidR="007F18B4" w:rsidRPr="007F18B4" w:rsidRDefault="007F18B4" w:rsidP="007F18B4">
      <w:pPr>
        <w:spacing w:after="0" w:line="240" w:lineRule="auto"/>
      </w:pPr>
      <w:r w:rsidRPr="007F18B4">
        <w:t xml:space="preserve">Λιαργκόβας Παναγιώτης, </w:t>
      </w:r>
      <w:r w:rsidRPr="007F18B4">
        <w:rPr>
          <w:lang w:val="en-US"/>
        </w:rPr>
        <w:t>Email</w:t>
      </w:r>
      <w:r w:rsidRPr="007F18B4">
        <w:t xml:space="preserve">: </w:t>
      </w:r>
      <w:proofErr w:type="spellStart"/>
      <w:r w:rsidRPr="007F18B4">
        <w:rPr>
          <w:lang w:val="en-US"/>
        </w:rPr>
        <w:t>liargova</w:t>
      </w:r>
      <w:proofErr w:type="spellEnd"/>
      <w:r w:rsidRPr="007F18B4">
        <w:t>@</w:t>
      </w:r>
      <w:proofErr w:type="spellStart"/>
      <w:r w:rsidRPr="007F18B4">
        <w:rPr>
          <w:lang w:val="en-US"/>
        </w:rPr>
        <w:t>uop</w:t>
      </w:r>
      <w:proofErr w:type="spellEnd"/>
      <w:r w:rsidRPr="007F18B4">
        <w:t>.</w:t>
      </w:r>
      <w:r w:rsidRPr="007F18B4">
        <w:rPr>
          <w:lang w:val="en-US"/>
        </w:rPr>
        <w:t>gr</w:t>
      </w:r>
    </w:p>
    <w:p w:rsidR="00811F11" w:rsidRDefault="00811F11" w:rsidP="00811F11">
      <w:pPr>
        <w:rPr>
          <w:b/>
        </w:rPr>
      </w:pPr>
      <w:bookmarkStart w:id="0" w:name="_GoBack"/>
      <w:bookmarkEnd w:id="0"/>
    </w:p>
    <w:p w:rsidR="00811F11" w:rsidRPr="003F1AA7" w:rsidRDefault="00811F11" w:rsidP="00811F11">
      <w:pPr>
        <w:rPr>
          <w:b/>
          <w:sz w:val="28"/>
          <w:szCs w:val="28"/>
        </w:rPr>
      </w:pPr>
      <w:r w:rsidRPr="003F1AA7">
        <w:rPr>
          <w:b/>
          <w:sz w:val="28"/>
          <w:szCs w:val="28"/>
        </w:rPr>
        <w:t>Σκοπός μαθήματος:</w:t>
      </w:r>
    </w:p>
    <w:p w:rsidR="00454C1F" w:rsidRPr="00327A7F" w:rsidRDefault="00454C1F" w:rsidP="00327A7F">
      <w:pPr>
        <w:jc w:val="both"/>
      </w:pPr>
      <w:r w:rsidRPr="00454C1F">
        <w:t>Στο μάθημα αυτό θα εξετάσουμε  πτυχές της λειτουργίας και της δραστηριότητας του κράτους που σχετίζονται με τη φορολογία και τις δαπάνες καθώς και την επίδραση που αυτές έχουν στην κατανομή των πόρων και την διανομή του εισοδήματος.</w:t>
      </w:r>
      <w:r w:rsidR="00327A7F" w:rsidRPr="00327A7F">
        <w:t xml:space="preserve"> H διδασκαλία του μαθήματος πραγματοποιείται με διαλέξεις. Κατά τη διάρκεια των διαλέξεων οι φοιτητές ενθαρρύνονται για ενεργή συμμετοχή προκειμένου το μάθημα να αποκτήσει </w:t>
      </w:r>
      <w:proofErr w:type="spellStart"/>
      <w:r w:rsidR="00327A7F" w:rsidRPr="00327A7F">
        <w:t>διαδραστικό</w:t>
      </w:r>
      <w:proofErr w:type="spellEnd"/>
      <w:r w:rsidR="00327A7F" w:rsidRPr="00327A7F">
        <w:t xml:space="preserve"> χαρακτήρα και να ενισχύσει την κατανόηση τους. Μετά το πέρας των διαλέξεων οι φοιτητές θα είναι σε θέση να αναλύουν βασικές πτυχές του δημόσιου τομέα, τον ρόλο του κράτους καθώς και τα διαθέσιμά μέσα και εργαλεία που έχει για την άσκηση δημοσιοοικονομικής και φορολογικής πολιτικές. Πιο συγκεκριμένα, θα μελετήσουμε τα εργαλεία της δημόσιας οικονομικής, τα δημόσια αγαθά, την πολιτική οικονομία, τις κρατικές δαπάνες, την φορολογία και διανομή εισοδήματος, την φορολογία και αποτελεσματικότητα, την αποτελεσματική και δίκαιη φορολογία, την χρηματοδότηση του κράτους μέσω ελλείμματος, την δημοσιονομική πολιτική στην Ευρωπαϊκή Ένωση και το μέγεθος και εύρος δραστηριοτήτων του δημόσιου τομέα.</w:t>
      </w:r>
    </w:p>
    <w:p w:rsidR="00811F11" w:rsidRPr="003F1AA7" w:rsidRDefault="00811F11">
      <w:pPr>
        <w:rPr>
          <w:b/>
          <w:sz w:val="28"/>
          <w:szCs w:val="28"/>
        </w:rPr>
      </w:pPr>
      <w:r w:rsidRPr="003F1AA7">
        <w:rPr>
          <w:b/>
          <w:sz w:val="28"/>
          <w:szCs w:val="28"/>
        </w:rPr>
        <w:t>Θεματικές ενότητες:</w:t>
      </w:r>
    </w:p>
    <w:p w:rsidR="00BB4467" w:rsidRPr="005E07BF" w:rsidRDefault="00BB4467">
      <w:pPr>
        <w:rPr>
          <w:rFonts w:cstheme="minorHAnsi"/>
        </w:rPr>
      </w:pPr>
      <w:r w:rsidRPr="005E07BF">
        <w:rPr>
          <w:rFonts w:cstheme="minorHAnsi"/>
        </w:rPr>
        <w:t>Το μάθημα περιέχει τις παρακάτω θεματικές ενότητες</w:t>
      </w:r>
      <w:r w:rsidR="00811F11" w:rsidRPr="005E07BF">
        <w:rPr>
          <w:rFonts w:cstheme="minorHAnsi"/>
        </w:rPr>
        <w:t>:</w:t>
      </w:r>
    </w:p>
    <w:p w:rsidR="00327A7F" w:rsidRPr="005E07BF" w:rsidRDefault="00327A7F" w:rsidP="00327A7F">
      <w:pPr>
        <w:pStyle w:val="a3"/>
        <w:numPr>
          <w:ilvl w:val="0"/>
          <w:numId w:val="6"/>
        </w:numPr>
        <w:spacing w:line="240" w:lineRule="auto"/>
        <w:rPr>
          <w:rFonts w:cstheme="minorHAnsi"/>
        </w:rPr>
      </w:pPr>
      <w:r w:rsidRPr="005E07BF">
        <w:rPr>
          <w:rFonts w:cstheme="minorHAnsi"/>
        </w:rPr>
        <w:t>Τα εργαλεία της δημόσιας οικονομικής (Κεφάλαια 1-3)</w:t>
      </w:r>
    </w:p>
    <w:p w:rsidR="00327A7F" w:rsidRPr="005E07BF" w:rsidRDefault="00327A7F" w:rsidP="00327A7F">
      <w:pPr>
        <w:pStyle w:val="a3"/>
        <w:numPr>
          <w:ilvl w:val="0"/>
          <w:numId w:val="6"/>
        </w:numPr>
        <w:spacing w:line="240" w:lineRule="auto"/>
        <w:rPr>
          <w:rFonts w:cstheme="minorHAnsi"/>
        </w:rPr>
      </w:pPr>
      <w:r w:rsidRPr="005E07BF">
        <w:rPr>
          <w:rFonts w:cstheme="minorHAnsi"/>
        </w:rPr>
        <w:t>Δημόσια αγαθά (Κεφάλαιο 4)</w:t>
      </w:r>
    </w:p>
    <w:p w:rsidR="00327A7F" w:rsidRPr="005E07BF" w:rsidRDefault="00327A7F" w:rsidP="00327A7F">
      <w:pPr>
        <w:pStyle w:val="a3"/>
        <w:numPr>
          <w:ilvl w:val="0"/>
          <w:numId w:val="6"/>
        </w:numPr>
        <w:spacing w:line="240" w:lineRule="auto"/>
        <w:rPr>
          <w:rFonts w:cstheme="minorHAnsi"/>
        </w:rPr>
      </w:pPr>
      <w:r w:rsidRPr="005E07BF">
        <w:rPr>
          <w:rFonts w:cstheme="minorHAnsi"/>
        </w:rPr>
        <w:t>Πολιτική οικονομία (Κεφάλαιο 6)</w:t>
      </w:r>
    </w:p>
    <w:p w:rsidR="00327A7F" w:rsidRPr="005E07BF" w:rsidRDefault="00327A7F" w:rsidP="00327A7F">
      <w:pPr>
        <w:pStyle w:val="a3"/>
        <w:numPr>
          <w:ilvl w:val="0"/>
          <w:numId w:val="6"/>
        </w:numPr>
        <w:spacing w:line="240" w:lineRule="auto"/>
        <w:rPr>
          <w:rFonts w:cstheme="minorHAnsi"/>
        </w:rPr>
      </w:pPr>
      <w:r w:rsidRPr="005E07BF">
        <w:rPr>
          <w:rFonts w:cstheme="minorHAnsi"/>
        </w:rPr>
        <w:t>Κρατικές δαπάνες: Αναδιανομή εισοδήματος (Κεφάλαιο 11)</w:t>
      </w:r>
    </w:p>
    <w:p w:rsidR="00327A7F" w:rsidRPr="005E07BF" w:rsidRDefault="00327A7F" w:rsidP="00327A7F">
      <w:pPr>
        <w:pStyle w:val="a3"/>
        <w:numPr>
          <w:ilvl w:val="0"/>
          <w:numId w:val="6"/>
        </w:numPr>
        <w:spacing w:line="240" w:lineRule="auto"/>
        <w:rPr>
          <w:rFonts w:cstheme="minorHAnsi"/>
        </w:rPr>
      </w:pPr>
      <w:r w:rsidRPr="005E07BF">
        <w:rPr>
          <w:rFonts w:cstheme="minorHAnsi"/>
        </w:rPr>
        <w:t>Φορολογία και διανομή εισοδήματος (Κεφάλαιο 13)</w:t>
      </w:r>
    </w:p>
    <w:p w:rsidR="00327A7F" w:rsidRPr="005E07BF" w:rsidRDefault="00327A7F" w:rsidP="00327A7F">
      <w:pPr>
        <w:pStyle w:val="a3"/>
        <w:numPr>
          <w:ilvl w:val="0"/>
          <w:numId w:val="6"/>
        </w:numPr>
        <w:spacing w:line="240" w:lineRule="auto"/>
        <w:rPr>
          <w:rFonts w:cstheme="minorHAnsi"/>
        </w:rPr>
      </w:pPr>
      <w:r w:rsidRPr="005E07BF">
        <w:rPr>
          <w:rFonts w:cstheme="minorHAnsi"/>
        </w:rPr>
        <w:t>Φορολογία και αποτελεσματικότητα (Κεφάλαιο 14)</w:t>
      </w:r>
    </w:p>
    <w:p w:rsidR="00327A7F" w:rsidRPr="005E07BF" w:rsidRDefault="00327A7F" w:rsidP="00327A7F">
      <w:pPr>
        <w:pStyle w:val="a3"/>
        <w:numPr>
          <w:ilvl w:val="0"/>
          <w:numId w:val="6"/>
        </w:numPr>
        <w:spacing w:line="240" w:lineRule="auto"/>
        <w:rPr>
          <w:rFonts w:cstheme="minorHAnsi"/>
        </w:rPr>
      </w:pPr>
      <w:r w:rsidRPr="005E07BF">
        <w:rPr>
          <w:rFonts w:cstheme="minorHAnsi"/>
        </w:rPr>
        <w:t>Αποτελεσματική και δίκαιη φορολογία (Κεφάλαιο 15)</w:t>
      </w:r>
    </w:p>
    <w:p w:rsidR="00327A7F" w:rsidRPr="005E07BF" w:rsidRDefault="00327A7F" w:rsidP="00327A7F">
      <w:pPr>
        <w:spacing w:line="240" w:lineRule="auto"/>
        <w:ind w:firstLine="45"/>
        <w:rPr>
          <w:rFonts w:cstheme="minorHAnsi"/>
        </w:rPr>
      </w:pPr>
    </w:p>
    <w:p w:rsidR="00327A7F" w:rsidRPr="005E07BF" w:rsidRDefault="00327A7F" w:rsidP="00327A7F">
      <w:pPr>
        <w:pStyle w:val="a3"/>
        <w:numPr>
          <w:ilvl w:val="0"/>
          <w:numId w:val="6"/>
        </w:numPr>
        <w:spacing w:line="240" w:lineRule="auto"/>
        <w:rPr>
          <w:rFonts w:cstheme="minorHAnsi"/>
        </w:rPr>
      </w:pPr>
      <w:r w:rsidRPr="005E07BF">
        <w:rPr>
          <w:rFonts w:cstheme="minorHAnsi"/>
        </w:rPr>
        <w:lastRenderedPageBreak/>
        <w:t>Χρηματοδότηση του κράτους μέσω ελλείμματος (Κεφάλαιο 19)</w:t>
      </w:r>
    </w:p>
    <w:p w:rsidR="00327A7F" w:rsidRPr="005E07BF" w:rsidRDefault="00327A7F" w:rsidP="00327A7F">
      <w:pPr>
        <w:pStyle w:val="a3"/>
        <w:numPr>
          <w:ilvl w:val="0"/>
          <w:numId w:val="6"/>
        </w:numPr>
        <w:spacing w:line="240" w:lineRule="auto"/>
        <w:rPr>
          <w:rFonts w:cstheme="minorHAnsi"/>
        </w:rPr>
      </w:pPr>
      <w:r w:rsidRPr="005E07BF">
        <w:rPr>
          <w:rFonts w:cstheme="minorHAnsi"/>
        </w:rPr>
        <w:t>Η δημοσιονομική πολιτική στην Ευρωπαϊκή Ένωση (Κεφάλαιο 21)</w:t>
      </w:r>
    </w:p>
    <w:p w:rsidR="003F1AA7" w:rsidRPr="005E07BF" w:rsidRDefault="00327A7F" w:rsidP="00327A7F">
      <w:pPr>
        <w:pStyle w:val="a3"/>
        <w:numPr>
          <w:ilvl w:val="0"/>
          <w:numId w:val="6"/>
        </w:numPr>
        <w:spacing w:line="240" w:lineRule="auto"/>
        <w:rPr>
          <w:rFonts w:cstheme="minorHAnsi"/>
        </w:rPr>
      </w:pPr>
      <w:r w:rsidRPr="005E07BF">
        <w:rPr>
          <w:rFonts w:cstheme="minorHAnsi"/>
        </w:rPr>
        <w:t>Μέγεθος και εύρος δραστηριοτήτων του δημόσιου τομέα (Κεφάλαιο 22)</w:t>
      </w:r>
    </w:p>
    <w:p w:rsidR="003F1AA7" w:rsidRPr="005E07BF" w:rsidRDefault="003F1AA7" w:rsidP="003F1AA7">
      <w:pPr>
        <w:rPr>
          <w:rFonts w:cstheme="minorHAnsi"/>
          <w:b/>
          <w:sz w:val="28"/>
          <w:szCs w:val="28"/>
        </w:rPr>
      </w:pPr>
      <w:r w:rsidRPr="005E07BF">
        <w:rPr>
          <w:rFonts w:cstheme="minorHAnsi"/>
          <w:b/>
          <w:sz w:val="28"/>
          <w:szCs w:val="28"/>
        </w:rPr>
        <w:t xml:space="preserve">Εξέταση: </w:t>
      </w:r>
    </w:p>
    <w:p w:rsidR="004E7BCE" w:rsidRPr="005E07BF" w:rsidRDefault="005E07BF" w:rsidP="005E07BF">
      <w:pPr>
        <w:rPr>
          <w:rFonts w:cstheme="minorHAnsi"/>
        </w:rPr>
      </w:pPr>
      <w:r w:rsidRPr="005E07BF">
        <w:rPr>
          <w:rFonts w:cstheme="minorHAnsi"/>
        </w:rPr>
        <w:t xml:space="preserve">Το μάθημα εξετάζεται αποκλειστικά με ερευνητική εργασία 3000 λέξεων:  Οι φοιτητές αξιολογούνται για το επίπεδο της ερευνητικής προσπάθειας τους. Οι εργασίες τους θα πρέπει να παραδοθούν μέχρι και την ημέρα των εξετάσεων. </w:t>
      </w:r>
    </w:p>
    <w:p w:rsidR="005E07BF" w:rsidRPr="006337D1" w:rsidRDefault="005E07BF" w:rsidP="005E07BF">
      <w:pPr>
        <w:spacing w:after="0" w:line="240" w:lineRule="auto"/>
        <w:rPr>
          <w:rFonts w:eastAsia="Times New Roman" w:cstheme="minorHAnsi"/>
          <w:b/>
          <w:bCs/>
          <w:lang w:eastAsia="el-GR"/>
        </w:rPr>
      </w:pPr>
      <w:proofErr w:type="spellStart"/>
      <w:r w:rsidRPr="006337D1">
        <w:rPr>
          <w:rFonts w:eastAsia="Times New Roman" w:cstheme="minorHAnsi"/>
          <w:b/>
          <w:bCs/>
          <w:lang w:eastAsia="el-GR"/>
        </w:rPr>
        <w:t>Συνιστώμενη</w:t>
      </w:r>
      <w:proofErr w:type="spellEnd"/>
      <w:r w:rsidRPr="006337D1">
        <w:rPr>
          <w:rFonts w:eastAsia="Times New Roman" w:cstheme="minorHAnsi"/>
          <w:b/>
          <w:bCs/>
          <w:lang w:eastAsia="el-GR"/>
        </w:rPr>
        <w:t xml:space="preserve"> Βιβλιογραφία προς μελέτη: </w:t>
      </w:r>
    </w:p>
    <w:p w:rsidR="005E07BF" w:rsidRPr="006337D1" w:rsidRDefault="005E07BF" w:rsidP="005E07BF">
      <w:pPr>
        <w:spacing w:after="288" w:line="240" w:lineRule="auto"/>
        <w:ind w:left="360"/>
        <w:rPr>
          <w:rFonts w:eastAsia="Times New Roman" w:cstheme="minorHAnsi"/>
          <w:lang w:eastAsia="el-GR"/>
        </w:rPr>
      </w:pPr>
      <w:r w:rsidRPr="006337D1">
        <w:rPr>
          <w:rFonts w:eastAsia="Times New Roman" w:cstheme="minorHAnsi"/>
          <w:b/>
          <w:bCs/>
          <w:lang w:eastAsia="el-GR"/>
        </w:rPr>
        <w:t>Α) Εγχειρίδια του μαθήματος:</w:t>
      </w:r>
    </w:p>
    <w:p w:rsidR="005E07BF" w:rsidRPr="006337D1" w:rsidRDefault="005E07BF" w:rsidP="005E07BF">
      <w:pPr>
        <w:spacing w:after="288" w:line="240" w:lineRule="auto"/>
        <w:ind w:left="360"/>
        <w:rPr>
          <w:rFonts w:eastAsia="Times New Roman" w:cstheme="minorHAnsi"/>
          <w:lang w:eastAsia="el-GR"/>
        </w:rPr>
      </w:pPr>
      <w:proofErr w:type="spellStart"/>
      <w:r w:rsidRPr="006337D1">
        <w:rPr>
          <w:rFonts w:eastAsia="Times New Roman" w:cstheme="minorHAnsi"/>
          <w:lang w:eastAsia="el-GR"/>
        </w:rPr>
        <w:t>Harvey</w:t>
      </w:r>
      <w:proofErr w:type="spellEnd"/>
      <w:r w:rsidRPr="006337D1">
        <w:rPr>
          <w:rFonts w:eastAsia="Times New Roman" w:cstheme="minorHAnsi"/>
          <w:lang w:eastAsia="el-GR"/>
        </w:rPr>
        <w:t xml:space="preserve"> S. </w:t>
      </w:r>
      <w:proofErr w:type="spellStart"/>
      <w:r w:rsidRPr="006337D1">
        <w:rPr>
          <w:rFonts w:eastAsia="Times New Roman" w:cstheme="minorHAnsi"/>
          <w:lang w:eastAsia="el-GR"/>
        </w:rPr>
        <w:t>Rosen</w:t>
      </w:r>
      <w:proofErr w:type="spellEnd"/>
      <w:r w:rsidRPr="006337D1">
        <w:rPr>
          <w:rFonts w:eastAsia="Times New Roman" w:cstheme="minorHAnsi"/>
          <w:lang w:eastAsia="el-GR"/>
        </w:rPr>
        <w:t xml:space="preserve">, </w:t>
      </w:r>
      <w:proofErr w:type="spellStart"/>
      <w:r w:rsidRPr="006337D1">
        <w:rPr>
          <w:rFonts w:eastAsia="Times New Roman" w:cstheme="minorHAnsi"/>
          <w:lang w:eastAsia="el-GR"/>
        </w:rPr>
        <w:t>Ted</w:t>
      </w:r>
      <w:proofErr w:type="spellEnd"/>
      <w:r w:rsidRPr="006337D1">
        <w:rPr>
          <w:rFonts w:eastAsia="Times New Roman" w:cstheme="minorHAnsi"/>
          <w:lang w:eastAsia="el-GR"/>
        </w:rPr>
        <w:t xml:space="preserve"> </w:t>
      </w:r>
      <w:proofErr w:type="spellStart"/>
      <w:r w:rsidRPr="006337D1">
        <w:rPr>
          <w:rFonts w:eastAsia="Times New Roman" w:cstheme="minorHAnsi"/>
          <w:lang w:eastAsia="el-GR"/>
        </w:rPr>
        <w:t>Gayer</w:t>
      </w:r>
      <w:proofErr w:type="spellEnd"/>
      <w:r w:rsidRPr="006337D1">
        <w:rPr>
          <w:rFonts w:eastAsia="Times New Roman" w:cstheme="minorHAnsi"/>
          <w:lang w:eastAsia="el-GR"/>
        </w:rPr>
        <w:t xml:space="preserve">, Βασίλης Θ. </w:t>
      </w:r>
      <w:proofErr w:type="spellStart"/>
      <w:r w:rsidRPr="006337D1">
        <w:rPr>
          <w:rFonts w:eastAsia="Times New Roman" w:cstheme="minorHAnsi"/>
          <w:lang w:eastAsia="el-GR"/>
        </w:rPr>
        <w:t>Ράπανος</w:t>
      </w:r>
      <w:proofErr w:type="spellEnd"/>
      <w:r w:rsidRPr="006337D1">
        <w:rPr>
          <w:rFonts w:eastAsia="Times New Roman" w:cstheme="minorHAnsi"/>
          <w:lang w:eastAsia="el-GR"/>
        </w:rPr>
        <w:t xml:space="preserve">, και Γεωργία </w:t>
      </w:r>
      <w:proofErr w:type="spellStart"/>
      <w:r w:rsidRPr="006337D1">
        <w:rPr>
          <w:rFonts w:eastAsia="Times New Roman" w:cstheme="minorHAnsi"/>
          <w:lang w:eastAsia="el-GR"/>
        </w:rPr>
        <w:t>Καπλανόγλου</w:t>
      </w:r>
      <w:proofErr w:type="spellEnd"/>
      <w:r w:rsidRPr="006337D1">
        <w:rPr>
          <w:rFonts w:eastAsia="Times New Roman" w:cstheme="minorHAnsi"/>
          <w:lang w:eastAsia="el-GR"/>
        </w:rPr>
        <w:t xml:space="preserve"> (2009) </w:t>
      </w:r>
      <w:r w:rsidRPr="006337D1">
        <w:rPr>
          <w:rFonts w:eastAsia="Times New Roman" w:cstheme="minorHAnsi"/>
          <w:i/>
          <w:iCs/>
          <w:lang w:eastAsia="el-GR"/>
        </w:rPr>
        <w:t>Δημόσια Οικονομική: Σύγχρονη Θεωρία και Ελληνική Πραγματικότητα</w:t>
      </w:r>
      <w:r w:rsidRPr="006337D1">
        <w:rPr>
          <w:rFonts w:eastAsia="Times New Roman" w:cstheme="minorHAnsi"/>
          <w:lang w:eastAsia="el-GR"/>
        </w:rPr>
        <w:t>, Εκδόσεις Κριτική, Αθήνα.</w:t>
      </w:r>
    </w:p>
    <w:p w:rsidR="005E07BF" w:rsidRPr="006337D1" w:rsidRDefault="005E07BF" w:rsidP="005E07BF">
      <w:pPr>
        <w:spacing w:after="288" w:line="240" w:lineRule="auto"/>
        <w:ind w:left="360"/>
        <w:rPr>
          <w:rFonts w:eastAsia="Times New Roman" w:cstheme="minorHAnsi"/>
          <w:lang w:eastAsia="el-GR"/>
        </w:rPr>
      </w:pPr>
      <w:r w:rsidRPr="006337D1">
        <w:rPr>
          <w:rFonts w:eastAsia="Times New Roman" w:cstheme="minorHAnsi"/>
          <w:lang w:eastAsia="el-GR"/>
        </w:rPr>
        <w:t> </w:t>
      </w:r>
    </w:p>
    <w:p w:rsidR="005E07BF" w:rsidRPr="006337D1" w:rsidRDefault="005E07BF" w:rsidP="005E07BF">
      <w:pPr>
        <w:spacing w:after="288" w:line="240" w:lineRule="auto"/>
        <w:ind w:left="360"/>
        <w:rPr>
          <w:rFonts w:eastAsia="Times New Roman" w:cstheme="minorHAnsi"/>
          <w:lang w:eastAsia="el-GR"/>
        </w:rPr>
      </w:pPr>
      <w:r w:rsidRPr="006337D1">
        <w:rPr>
          <w:rFonts w:eastAsia="Times New Roman" w:cstheme="minorHAnsi"/>
          <w:b/>
          <w:bCs/>
          <w:lang w:eastAsia="el-GR"/>
        </w:rPr>
        <w:t>Β) Συμπληρωματική Βιβλιογραφία:</w:t>
      </w:r>
    </w:p>
    <w:p w:rsidR="005E07BF" w:rsidRPr="006337D1" w:rsidRDefault="005E07BF" w:rsidP="005E07BF">
      <w:pPr>
        <w:spacing w:after="288" w:line="240" w:lineRule="auto"/>
        <w:rPr>
          <w:rFonts w:eastAsia="Times New Roman" w:cstheme="minorHAnsi"/>
          <w:lang w:eastAsia="el-GR"/>
        </w:rPr>
      </w:pPr>
      <w:r w:rsidRPr="006337D1">
        <w:rPr>
          <w:rFonts w:eastAsia="Times New Roman" w:cstheme="minorHAnsi"/>
          <w:lang w:eastAsia="el-GR"/>
        </w:rPr>
        <w:t xml:space="preserve"> 1.      Ρουκανάς, Σ.  και </w:t>
      </w:r>
      <w:proofErr w:type="spellStart"/>
      <w:r w:rsidRPr="006337D1">
        <w:rPr>
          <w:rFonts w:eastAsia="Times New Roman" w:cstheme="minorHAnsi"/>
          <w:lang w:eastAsia="el-GR"/>
        </w:rPr>
        <w:t>Σκλιάς</w:t>
      </w:r>
      <w:proofErr w:type="spellEnd"/>
      <w:r w:rsidRPr="006337D1">
        <w:rPr>
          <w:rFonts w:eastAsia="Times New Roman" w:cstheme="minorHAnsi"/>
          <w:lang w:eastAsia="el-GR"/>
        </w:rPr>
        <w:t>, Π.  (2014) Η Ελληνική Πολιτική Οικονομία 2000-2010: Από την ΟΝΕ στο Μηχανισμό Στήριξης,  Α.Α. ΛΙΒΑΝΗ, Αθήνα.</w:t>
      </w:r>
    </w:p>
    <w:p w:rsidR="005E07BF" w:rsidRPr="006337D1" w:rsidRDefault="005E07BF" w:rsidP="005E07BF">
      <w:pPr>
        <w:spacing w:after="288" w:line="240" w:lineRule="auto"/>
        <w:rPr>
          <w:rFonts w:eastAsia="Times New Roman" w:cstheme="minorHAnsi"/>
          <w:lang w:eastAsia="el-GR"/>
        </w:rPr>
      </w:pPr>
      <w:r w:rsidRPr="006337D1">
        <w:rPr>
          <w:rFonts w:eastAsia="Times New Roman" w:cstheme="minorHAnsi"/>
          <w:lang w:eastAsia="el-GR"/>
        </w:rPr>
        <w:t xml:space="preserve">2.      </w:t>
      </w:r>
      <w:proofErr w:type="spellStart"/>
      <w:r w:rsidRPr="006337D1">
        <w:rPr>
          <w:rFonts w:eastAsia="Times New Roman" w:cstheme="minorHAnsi"/>
          <w:lang w:eastAsia="el-GR"/>
        </w:rPr>
        <w:t>Σκλιάς</w:t>
      </w:r>
      <w:proofErr w:type="spellEnd"/>
      <w:r w:rsidRPr="006337D1">
        <w:rPr>
          <w:rFonts w:eastAsia="Times New Roman" w:cstheme="minorHAnsi"/>
          <w:lang w:eastAsia="el-GR"/>
        </w:rPr>
        <w:t xml:space="preserve">, </w:t>
      </w:r>
      <w:proofErr w:type="spellStart"/>
      <w:r w:rsidRPr="006337D1">
        <w:rPr>
          <w:rFonts w:eastAsia="Times New Roman" w:cstheme="minorHAnsi"/>
          <w:lang w:eastAsia="el-GR"/>
        </w:rPr>
        <w:t>et</w:t>
      </w:r>
      <w:proofErr w:type="spellEnd"/>
      <w:r w:rsidRPr="006337D1">
        <w:rPr>
          <w:rFonts w:eastAsia="Times New Roman" w:cstheme="minorHAnsi"/>
          <w:lang w:eastAsia="el-GR"/>
        </w:rPr>
        <w:t xml:space="preserve">. Al (2012), Η Πολιτική των Διεθνών και Ευρωπαϊκών Σχέσεων, Αθήνα: </w:t>
      </w:r>
      <w:proofErr w:type="spellStart"/>
      <w:r w:rsidRPr="006337D1">
        <w:rPr>
          <w:rFonts w:eastAsia="Times New Roman" w:cstheme="minorHAnsi"/>
          <w:lang w:eastAsia="el-GR"/>
        </w:rPr>
        <w:t>Eκδόσεις</w:t>
      </w:r>
      <w:proofErr w:type="spellEnd"/>
      <w:r w:rsidRPr="006337D1">
        <w:rPr>
          <w:rFonts w:eastAsia="Times New Roman" w:cstheme="minorHAnsi"/>
          <w:lang w:eastAsia="el-GR"/>
        </w:rPr>
        <w:t xml:space="preserve"> </w:t>
      </w:r>
      <w:proofErr w:type="spellStart"/>
      <w:r w:rsidRPr="006337D1">
        <w:rPr>
          <w:rFonts w:eastAsia="Times New Roman" w:cstheme="minorHAnsi"/>
          <w:lang w:eastAsia="el-GR"/>
        </w:rPr>
        <w:t>Παπαζήση</w:t>
      </w:r>
      <w:proofErr w:type="spellEnd"/>
      <w:r w:rsidRPr="006337D1">
        <w:rPr>
          <w:rFonts w:eastAsia="Times New Roman" w:cstheme="minorHAnsi"/>
          <w:lang w:eastAsia="el-GR"/>
        </w:rPr>
        <w:t>.</w:t>
      </w:r>
    </w:p>
    <w:p w:rsidR="005E07BF" w:rsidRPr="006337D1" w:rsidRDefault="005E07BF" w:rsidP="005E07BF">
      <w:pPr>
        <w:spacing w:after="288" w:line="240" w:lineRule="auto"/>
        <w:rPr>
          <w:rFonts w:eastAsia="Times New Roman" w:cstheme="minorHAnsi"/>
          <w:lang w:eastAsia="el-GR"/>
        </w:rPr>
      </w:pPr>
      <w:r w:rsidRPr="006337D1">
        <w:rPr>
          <w:rFonts w:eastAsia="Times New Roman" w:cstheme="minorHAnsi"/>
          <w:lang w:eastAsia="el-GR"/>
        </w:rPr>
        <w:t xml:space="preserve">3.      </w:t>
      </w:r>
      <w:proofErr w:type="spellStart"/>
      <w:r w:rsidRPr="006337D1">
        <w:rPr>
          <w:rFonts w:eastAsia="Times New Roman" w:cstheme="minorHAnsi"/>
          <w:lang w:eastAsia="el-GR"/>
        </w:rPr>
        <w:t>Κότιος</w:t>
      </w:r>
      <w:proofErr w:type="spellEnd"/>
      <w:r w:rsidRPr="006337D1">
        <w:rPr>
          <w:rFonts w:eastAsia="Times New Roman" w:cstheme="minorHAnsi"/>
          <w:lang w:eastAsia="el-GR"/>
        </w:rPr>
        <w:t xml:space="preserve">, Α., Παυλίδης, Γ. (2012), Κρίσεις του συστήματος ή της πολιτικής?, Αθήνα: Εκδοτικός οίκος </w:t>
      </w:r>
      <w:proofErr w:type="spellStart"/>
      <w:r w:rsidRPr="006337D1">
        <w:rPr>
          <w:rFonts w:eastAsia="Times New Roman" w:cstheme="minorHAnsi"/>
          <w:lang w:eastAsia="el-GR"/>
        </w:rPr>
        <w:t>Rosili</w:t>
      </w:r>
      <w:proofErr w:type="spellEnd"/>
      <w:r w:rsidRPr="006337D1">
        <w:rPr>
          <w:rFonts w:eastAsia="Times New Roman" w:cstheme="minorHAnsi"/>
          <w:lang w:eastAsia="el-GR"/>
        </w:rPr>
        <w:t>.</w:t>
      </w:r>
    </w:p>
    <w:p w:rsidR="005E07BF" w:rsidRPr="006337D1" w:rsidRDefault="005E07BF" w:rsidP="005E07BF">
      <w:pPr>
        <w:spacing w:after="288" w:line="240" w:lineRule="auto"/>
        <w:rPr>
          <w:rFonts w:eastAsia="Times New Roman" w:cstheme="minorHAnsi"/>
          <w:lang w:eastAsia="el-GR"/>
        </w:rPr>
      </w:pPr>
      <w:r w:rsidRPr="006337D1">
        <w:rPr>
          <w:rFonts w:eastAsia="Times New Roman" w:cstheme="minorHAnsi"/>
          <w:lang w:eastAsia="el-GR"/>
        </w:rPr>
        <w:t xml:space="preserve">4.      Λιαργκόβας, Π., </w:t>
      </w:r>
      <w:proofErr w:type="spellStart"/>
      <w:r w:rsidRPr="006337D1">
        <w:rPr>
          <w:rFonts w:eastAsia="Times New Roman" w:cstheme="minorHAnsi"/>
          <w:lang w:eastAsia="el-GR"/>
        </w:rPr>
        <w:t>Ρεπούσης</w:t>
      </w:r>
      <w:proofErr w:type="spellEnd"/>
      <w:r w:rsidRPr="006337D1">
        <w:rPr>
          <w:rFonts w:eastAsia="Times New Roman" w:cstheme="minorHAnsi"/>
          <w:lang w:eastAsia="el-GR"/>
        </w:rPr>
        <w:t xml:space="preserve">, Σ. (2011), Κρίση, δανεισμός και χρεοκοπία: ελληνικές και διεθνείς εμπειρίες, Αθήνα:  </w:t>
      </w:r>
      <w:proofErr w:type="spellStart"/>
      <w:r w:rsidRPr="006337D1">
        <w:rPr>
          <w:rFonts w:eastAsia="Times New Roman" w:cstheme="minorHAnsi"/>
          <w:lang w:eastAsia="el-GR"/>
        </w:rPr>
        <w:t>Παπαζήσης</w:t>
      </w:r>
      <w:proofErr w:type="spellEnd"/>
    </w:p>
    <w:p w:rsidR="005E07BF" w:rsidRPr="006337D1" w:rsidRDefault="005E07BF" w:rsidP="005E07BF">
      <w:pPr>
        <w:spacing w:after="288" w:line="240" w:lineRule="auto"/>
        <w:rPr>
          <w:rFonts w:eastAsia="Times New Roman" w:cstheme="minorHAnsi"/>
          <w:lang w:eastAsia="el-GR"/>
        </w:rPr>
      </w:pPr>
      <w:r w:rsidRPr="006337D1">
        <w:rPr>
          <w:rFonts w:eastAsia="Times New Roman" w:cstheme="minorHAnsi"/>
          <w:lang w:eastAsia="el-GR"/>
        </w:rPr>
        <w:t xml:space="preserve">5.      </w:t>
      </w:r>
      <w:proofErr w:type="spellStart"/>
      <w:r w:rsidRPr="006337D1">
        <w:rPr>
          <w:rFonts w:eastAsia="Times New Roman" w:cstheme="minorHAnsi"/>
          <w:lang w:eastAsia="el-GR"/>
        </w:rPr>
        <w:t>Ράπανος</w:t>
      </w:r>
      <w:proofErr w:type="spellEnd"/>
      <w:r w:rsidRPr="006337D1">
        <w:rPr>
          <w:rFonts w:eastAsia="Times New Roman" w:cstheme="minorHAnsi"/>
          <w:lang w:eastAsia="el-GR"/>
        </w:rPr>
        <w:t xml:space="preserve">, Β. (2008), </w:t>
      </w:r>
      <w:proofErr w:type="spellStart"/>
      <w:r w:rsidRPr="006337D1">
        <w:rPr>
          <w:rFonts w:eastAsia="Times New Roman" w:cstheme="minorHAnsi"/>
          <w:lang w:eastAsia="el-GR"/>
        </w:rPr>
        <w:t>Oικονομική</w:t>
      </w:r>
      <w:proofErr w:type="spellEnd"/>
      <w:r w:rsidRPr="006337D1">
        <w:rPr>
          <w:rFonts w:eastAsia="Times New Roman" w:cstheme="minorHAnsi"/>
          <w:lang w:eastAsia="el-GR"/>
        </w:rPr>
        <w:t xml:space="preserve"> θεωρία και δημοσιονομική πολιτική: οι δημοσιονομικοί θεσμοί στην Ελλάδα, στο </w:t>
      </w:r>
      <w:proofErr w:type="spellStart"/>
      <w:r w:rsidRPr="006337D1">
        <w:rPr>
          <w:rFonts w:eastAsia="Times New Roman" w:cstheme="minorHAnsi"/>
          <w:lang w:eastAsia="el-GR"/>
        </w:rPr>
        <w:t>Γιαννίτσης</w:t>
      </w:r>
      <w:proofErr w:type="spellEnd"/>
      <w:r w:rsidRPr="006337D1">
        <w:rPr>
          <w:rFonts w:eastAsia="Times New Roman" w:cstheme="minorHAnsi"/>
          <w:lang w:eastAsia="el-GR"/>
        </w:rPr>
        <w:t xml:space="preserve"> Τ. (</w:t>
      </w:r>
      <w:proofErr w:type="spellStart"/>
      <w:r w:rsidRPr="006337D1">
        <w:rPr>
          <w:rFonts w:eastAsia="Times New Roman" w:cstheme="minorHAnsi"/>
          <w:lang w:eastAsia="el-GR"/>
        </w:rPr>
        <w:t>ed</w:t>
      </w:r>
      <w:proofErr w:type="spellEnd"/>
      <w:r w:rsidRPr="006337D1">
        <w:rPr>
          <w:rFonts w:eastAsia="Times New Roman" w:cstheme="minorHAnsi"/>
          <w:lang w:eastAsia="el-GR"/>
        </w:rPr>
        <w:t xml:space="preserve">) Σε αναζήτηση ελληνικού μοντέλου ανάπτυξης, Αθήνα: Εκδόσεις </w:t>
      </w:r>
      <w:proofErr w:type="spellStart"/>
      <w:r w:rsidRPr="006337D1">
        <w:rPr>
          <w:rFonts w:eastAsia="Times New Roman" w:cstheme="minorHAnsi"/>
          <w:lang w:eastAsia="el-GR"/>
        </w:rPr>
        <w:t>Παπαζήση</w:t>
      </w:r>
      <w:proofErr w:type="spellEnd"/>
      <w:r w:rsidRPr="006337D1">
        <w:rPr>
          <w:rFonts w:eastAsia="Times New Roman" w:cstheme="minorHAnsi"/>
          <w:lang w:eastAsia="el-GR"/>
        </w:rPr>
        <w:t>.</w:t>
      </w:r>
    </w:p>
    <w:p w:rsidR="005E07BF" w:rsidRPr="006337D1" w:rsidRDefault="005E07BF" w:rsidP="005E07BF">
      <w:pPr>
        <w:spacing w:after="288" w:line="240" w:lineRule="auto"/>
        <w:rPr>
          <w:rFonts w:eastAsia="Times New Roman" w:cstheme="minorHAnsi"/>
          <w:lang w:eastAsia="el-GR"/>
        </w:rPr>
      </w:pPr>
      <w:r w:rsidRPr="006337D1">
        <w:rPr>
          <w:rFonts w:eastAsia="Times New Roman" w:cstheme="minorHAnsi"/>
          <w:lang w:eastAsia="el-GR"/>
        </w:rPr>
        <w:t xml:space="preserve">6.      </w:t>
      </w:r>
      <w:proofErr w:type="spellStart"/>
      <w:r w:rsidRPr="006337D1">
        <w:rPr>
          <w:rFonts w:eastAsia="Times New Roman" w:cstheme="minorHAnsi"/>
          <w:lang w:eastAsia="el-GR"/>
        </w:rPr>
        <w:t>Αναστασάτος</w:t>
      </w:r>
      <w:proofErr w:type="spellEnd"/>
      <w:r w:rsidRPr="006337D1">
        <w:rPr>
          <w:rFonts w:eastAsia="Times New Roman" w:cstheme="minorHAnsi"/>
          <w:lang w:eastAsia="el-GR"/>
        </w:rPr>
        <w:t xml:space="preserve">, Τ. (2009), Προς ένα νέο Ελληνικό αναπτυξιακό πρότυπο: επενδύσεις και εξωστρέφεια, </w:t>
      </w:r>
      <w:proofErr w:type="spellStart"/>
      <w:r w:rsidRPr="006337D1">
        <w:rPr>
          <w:rFonts w:eastAsia="Times New Roman" w:cstheme="minorHAnsi"/>
          <w:lang w:eastAsia="el-GR"/>
        </w:rPr>
        <w:t>Eurobank</w:t>
      </w:r>
      <w:proofErr w:type="spellEnd"/>
      <w:r w:rsidRPr="006337D1">
        <w:rPr>
          <w:rFonts w:eastAsia="Times New Roman" w:cstheme="minorHAnsi"/>
          <w:lang w:eastAsia="el-GR"/>
        </w:rPr>
        <w:t xml:space="preserve"> Research Οικονομία και Αγορές.</w:t>
      </w:r>
    </w:p>
    <w:p w:rsidR="005E07BF" w:rsidRPr="006337D1" w:rsidRDefault="005E07BF" w:rsidP="005E07BF">
      <w:pPr>
        <w:spacing w:after="288" w:line="240" w:lineRule="auto"/>
        <w:rPr>
          <w:rFonts w:eastAsia="Times New Roman" w:cstheme="minorHAnsi"/>
          <w:lang w:val="en-US" w:eastAsia="el-GR"/>
        </w:rPr>
      </w:pPr>
      <w:r w:rsidRPr="006337D1">
        <w:rPr>
          <w:rFonts w:eastAsia="Times New Roman" w:cstheme="minorHAnsi"/>
          <w:lang w:val="en-US" w:eastAsia="el-GR"/>
        </w:rPr>
        <w:t>7.      Sklias P. and Maris G.</w:t>
      </w:r>
      <w:proofErr w:type="gramStart"/>
      <w:r w:rsidRPr="006337D1">
        <w:rPr>
          <w:rFonts w:eastAsia="Times New Roman" w:cstheme="minorHAnsi"/>
          <w:lang w:val="en-US" w:eastAsia="el-GR"/>
        </w:rPr>
        <w:t>,(</w:t>
      </w:r>
      <w:proofErr w:type="gramEnd"/>
      <w:r w:rsidRPr="006337D1">
        <w:rPr>
          <w:rFonts w:eastAsia="Times New Roman" w:cstheme="minorHAnsi"/>
          <w:lang w:val="en-US" w:eastAsia="el-GR"/>
        </w:rPr>
        <w:t>2012) Reassessment of the OCA criteria in the Euro area: the case of Greece, Monetary Economics and Finance, Vol. 5: (2), 124-138.</w:t>
      </w:r>
    </w:p>
    <w:p w:rsidR="005E07BF" w:rsidRPr="006337D1" w:rsidRDefault="005E07BF" w:rsidP="005E07BF">
      <w:pPr>
        <w:spacing w:after="288" w:line="240" w:lineRule="auto"/>
        <w:rPr>
          <w:rFonts w:eastAsia="Times New Roman" w:cstheme="minorHAnsi"/>
          <w:lang w:eastAsia="el-GR"/>
        </w:rPr>
      </w:pPr>
      <w:r w:rsidRPr="006337D1">
        <w:rPr>
          <w:rFonts w:eastAsia="Times New Roman" w:cstheme="minorHAnsi"/>
          <w:lang w:val="en-US" w:eastAsia="el-GR"/>
        </w:rPr>
        <w:t xml:space="preserve">8.      Sklias P., </w:t>
      </w:r>
      <w:proofErr w:type="spellStart"/>
      <w:r w:rsidRPr="006337D1">
        <w:rPr>
          <w:rFonts w:eastAsia="Times New Roman" w:cstheme="minorHAnsi"/>
          <w:lang w:val="en-US" w:eastAsia="el-GR"/>
        </w:rPr>
        <w:t>Galatsidas</w:t>
      </w:r>
      <w:proofErr w:type="spellEnd"/>
      <w:r w:rsidRPr="006337D1">
        <w:rPr>
          <w:rFonts w:eastAsia="Times New Roman" w:cstheme="minorHAnsi"/>
          <w:lang w:val="en-US" w:eastAsia="el-GR"/>
        </w:rPr>
        <w:t xml:space="preserve"> G., (2010), The Political Economy of the Greek Crisis: Roots, Causes and Perspectives for Sustainable Development, Middle Eastern Finance and Economics, Vol.  </w:t>
      </w:r>
      <w:r w:rsidRPr="006337D1">
        <w:rPr>
          <w:rFonts w:eastAsia="Times New Roman" w:cstheme="minorHAnsi"/>
          <w:lang w:eastAsia="el-GR"/>
        </w:rPr>
        <w:t>(7), 166-177</w:t>
      </w:r>
    </w:p>
    <w:p w:rsidR="005E07BF" w:rsidRPr="006337D1" w:rsidRDefault="005E07BF" w:rsidP="005E07BF">
      <w:pPr>
        <w:spacing w:after="288" w:line="240" w:lineRule="auto"/>
        <w:rPr>
          <w:rFonts w:eastAsia="Times New Roman" w:cstheme="minorHAnsi"/>
          <w:lang w:eastAsia="el-GR"/>
        </w:rPr>
      </w:pPr>
      <w:r w:rsidRPr="006337D1">
        <w:rPr>
          <w:rFonts w:eastAsia="Times New Roman" w:cstheme="minorHAnsi"/>
          <w:lang w:eastAsia="el-GR"/>
        </w:rPr>
        <w:t xml:space="preserve">9.      </w:t>
      </w:r>
      <w:proofErr w:type="spellStart"/>
      <w:r w:rsidRPr="006337D1">
        <w:rPr>
          <w:rFonts w:eastAsia="Times New Roman" w:cstheme="minorHAnsi"/>
          <w:lang w:eastAsia="el-GR"/>
        </w:rPr>
        <w:t>Stiglitz</w:t>
      </w:r>
      <w:proofErr w:type="spellEnd"/>
      <w:r w:rsidRPr="006337D1">
        <w:rPr>
          <w:rFonts w:eastAsia="Times New Roman" w:cstheme="minorHAnsi"/>
          <w:lang w:eastAsia="el-GR"/>
        </w:rPr>
        <w:t xml:space="preserve">, J. E., (1992) </w:t>
      </w:r>
      <w:r w:rsidRPr="006337D1">
        <w:rPr>
          <w:rFonts w:eastAsia="Times New Roman" w:cstheme="minorHAnsi"/>
          <w:i/>
          <w:iCs/>
          <w:lang w:eastAsia="el-GR"/>
        </w:rPr>
        <w:t>Οικονομική του Δημόσιου Τομέα</w:t>
      </w:r>
      <w:r w:rsidRPr="006337D1">
        <w:rPr>
          <w:rFonts w:eastAsia="Times New Roman" w:cstheme="minorHAnsi"/>
          <w:lang w:eastAsia="el-GR"/>
        </w:rPr>
        <w:t>, Εκδόσεις Κριτική, Αθήνα.</w:t>
      </w:r>
    </w:p>
    <w:p w:rsidR="005E07BF" w:rsidRPr="006337D1" w:rsidRDefault="005E07BF" w:rsidP="005E07BF">
      <w:pPr>
        <w:spacing w:after="288" w:line="240" w:lineRule="auto"/>
        <w:rPr>
          <w:rFonts w:eastAsia="Times New Roman" w:cstheme="minorHAnsi"/>
          <w:lang w:eastAsia="el-GR"/>
        </w:rPr>
      </w:pPr>
      <w:r w:rsidRPr="006337D1">
        <w:rPr>
          <w:rFonts w:eastAsia="Times New Roman" w:cstheme="minorHAnsi"/>
          <w:lang w:eastAsia="el-GR"/>
        </w:rPr>
        <w:lastRenderedPageBreak/>
        <w:t xml:space="preserve">10.  Γεωργακόπουλος, Θ. (2012) </w:t>
      </w:r>
      <w:r w:rsidRPr="006337D1">
        <w:rPr>
          <w:rFonts w:eastAsia="Times New Roman" w:cstheme="minorHAnsi"/>
          <w:i/>
          <w:iCs/>
          <w:lang w:eastAsia="el-GR"/>
        </w:rPr>
        <w:t xml:space="preserve">Εισαγωγή στη Δημόσια Οικονομική, </w:t>
      </w:r>
      <w:r w:rsidRPr="006337D1">
        <w:rPr>
          <w:rFonts w:eastAsia="Times New Roman" w:cstheme="minorHAnsi"/>
          <w:lang w:eastAsia="el-GR"/>
        </w:rPr>
        <w:t>Εκδόσεις Μπένος, Αθήνα.</w:t>
      </w:r>
    </w:p>
    <w:p w:rsidR="005E07BF" w:rsidRPr="006337D1" w:rsidRDefault="005E07BF" w:rsidP="005E07BF">
      <w:pPr>
        <w:spacing w:after="288" w:line="240" w:lineRule="auto"/>
        <w:rPr>
          <w:rFonts w:eastAsia="Times New Roman" w:cstheme="minorHAnsi"/>
          <w:lang w:eastAsia="el-GR"/>
        </w:rPr>
      </w:pPr>
      <w:r w:rsidRPr="006337D1">
        <w:rPr>
          <w:rFonts w:eastAsia="Times New Roman" w:cstheme="minorHAnsi"/>
          <w:lang w:eastAsia="el-GR"/>
        </w:rPr>
        <w:t xml:space="preserve">11.  </w:t>
      </w:r>
      <w:proofErr w:type="spellStart"/>
      <w:r w:rsidRPr="006337D1">
        <w:rPr>
          <w:rFonts w:eastAsia="Times New Roman" w:cstheme="minorHAnsi"/>
          <w:lang w:eastAsia="el-GR"/>
        </w:rPr>
        <w:t>Τάτσος</w:t>
      </w:r>
      <w:proofErr w:type="spellEnd"/>
      <w:r w:rsidRPr="006337D1">
        <w:rPr>
          <w:rFonts w:eastAsia="Times New Roman" w:cstheme="minorHAnsi"/>
          <w:lang w:eastAsia="el-GR"/>
        </w:rPr>
        <w:t xml:space="preserve">, Ν. (2012) </w:t>
      </w:r>
      <w:r w:rsidRPr="006337D1">
        <w:rPr>
          <w:rFonts w:eastAsia="Times New Roman" w:cstheme="minorHAnsi"/>
          <w:i/>
          <w:iCs/>
          <w:lang w:eastAsia="el-GR"/>
        </w:rPr>
        <w:t>Θεωρία των Φόρων και Φορολογική Πολιτική,</w:t>
      </w:r>
      <w:r w:rsidRPr="006337D1">
        <w:rPr>
          <w:rFonts w:eastAsia="Times New Roman" w:cstheme="minorHAnsi"/>
          <w:lang w:eastAsia="el-GR"/>
        </w:rPr>
        <w:t xml:space="preserve"> Εκδόσεις Κριτική, Αθήνα.</w:t>
      </w:r>
    </w:p>
    <w:p w:rsidR="00C36F78" w:rsidRPr="006337D1" w:rsidRDefault="00C36F78" w:rsidP="005E07BF">
      <w:pPr>
        <w:rPr>
          <w:rFonts w:cstheme="minorHAnsi"/>
        </w:rPr>
      </w:pPr>
    </w:p>
    <w:sectPr w:rsidR="00C36F78" w:rsidRPr="006337D1" w:rsidSect="00AE34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D7358"/>
    <w:multiLevelType w:val="hybridMultilevel"/>
    <w:tmpl w:val="8F0898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CDA300C"/>
    <w:multiLevelType w:val="hybridMultilevel"/>
    <w:tmpl w:val="E0EC798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D1D3ECC"/>
    <w:multiLevelType w:val="hybridMultilevel"/>
    <w:tmpl w:val="D214D94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4E2D5542"/>
    <w:multiLevelType w:val="multilevel"/>
    <w:tmpl w:val="8D6C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65ADF"/>
    <w:multiLevelType w:val="hybridMultilevel"/>
    <w:tmpl w:val="C46015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1943D09"/>
    <w:multiLevelType w:val="hybridMultilevel"/>
    <w:tmpl w:val="6C1611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7D"/>
    <w:rsid w:val="00043BCD"/>
    <w:rsid w:val="001002C8"/>
    <w:rsid w:val="00115AB0"/>
    <w:rsid w:val="00165674"/>
    <w:rsid w:val="001A4198"/>
    <w:rsid w:val="00204610"/>
    <w:rsid w:val="00327A7F"/>
    <w:rsid w:val="003F1AA7"/>
    <w:rsid w:val="00454C1F"/>
    <w:rsid w:val="00492DE0"/>
    <w:rsid w:val="004E7BCE"/>
    <w:rsid w:val="005E07BF"/>
    <w:rsid w:val="005E591F"/>
    <w:rsid w:val="006337D1"/>
    <w:rsid w:val="00686819"/>
    <w:rsid w:val="00730B78"/>
    <w:rsid w:val="007F18B4"/>
    <w:rsid w:val="00811F11"/>
    <w:rsid w:val="00817C7D"/>
    <w:rsid w:val="008E1F50"/>
    <w:rsid w:val="00913D8F"/>
    <w:rsid w:val="00961513"/>
    <w:rsid w:val="00991B29"/>
    <w:rsid w:val="009F775C"/>
    <w:rsid w:val="00A35519"/>
    <w:rsid w:val="00A556EA"/>
    <w:rsid w:val="00A97B33"/>
    <w:rsid w:val="00AE34DF"/>
    <w:rsid w:val="00B7121B"/>
    <w:rsid w:val="00B96739"/>
    <w:rsid w:val="00BB4467"/>
    <w:rsid w:val="00C36F78"/>
    <w:rsid w:val="00C452C2"/>
    <w:rsid w:val="00C86BBD"/>
    <w:rsid w:val="00D0428E"/>
    <w:rsid w:val="00D5793B"/>
    <w:rsid w:val="00DF1F90"/>
    <w:rsid w:val="00E72274"/>
    <w:rsid w:val="00EC16A3"/>
    <w:rsid w:val="00ED310C"/>
    <w:rsid w:val="00FA029C"/>
    <w:rsid w:val="00FB78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B0F15-9788-460A-A7E2-7F9A252F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4DF"/>
  </w:style>
  <w:style w:type="paragraph" w:styleId="1">
    <w:name w:val="heading 1"/>
    <w:basedOn w:val="a"/>
    <w:link w:val="1Char"/>
    <w:uiPriority w:val="9"/>
    <w:qFormat/>
    <w:rsid w:val="00ED31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730B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17C7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492DE0"/>
    <w:pPr>
      <w:ind w:left="720"/>
      <w:contextualSpacing/>
    </w:pPr>
  </w:style>
  <w:style w:type="character" w:customStyle="1" w:styleId="apple-converted-space">
    <w:name w:val="apple-converted-space"/>
    <w:basedOn w:val="a0"/>
    <w:rsid w:val="00E72274"/>
  </w:style>
  <w:style w:type="character" w:styleId="a4">
    <w:name w:val="Emphasis"/>
    <w:basedOn w:val="a0"/>
    <w:uiPriority w:val="20"/>
    <w:qFormat/>
    <w:rsid w:val="00E72274"/>
    <w:rPr>
      <w:i/>
      <w:iCs/>
    </w:rPr>
  </w:style>
  <w:style w:type="paragraph" w:customStyle="1" w:styleId="Default">
    <w:name w:val="Default"/>
    <w:rsid w:val="00C36F78"/>
    <w:pPr>
      <w:autoSpaceDE w:val="0"/>
      <w:autoSpaceDN w:val="0"/>
      <w:adjustRightInd w:val="0"/>
      <w:spacing w:after="0" w:line="240" w:lineRule="auto"/>
    </w:pPr>
    <w:rPr>
      <w:rFonts w:ascii="Calibri" w:hAnsi="Calibri" w:cs="Calibri"/>
      <w:color w:val="000000"/>
      <w:sz w:val="24"/>
      <w:szCs w:val="24"/>
    </w:rPr>
  </w:style>
  <w:style w:type="character" w:customStyle="1" w:styleId="1Char">
    <w:name w:val="Επικεφαλίδα 1 Char"/>
    <w:basedOn w:val="a0"/>
    <w:link w:val="1"/>
    <w:uiPriority w:val="9"/>
    <w:rsid w:val="00ED310C"/>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semiHidden/>
    <w:rsid w:val="00730B78"/>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730B78"/>
    <w:rPr>
      <w:b/>
      <w:bCs/>
    </w:rPr>
  </w:style>
  <w:style w:type="paragraph" w:styleId="a6">
    <w:name w:val="Balloon Text"/>
    <w:basedOn w:val="a"/>
    <w:link w:val="Char"/>
    <w:uiPriority w:val="99"/>
    <w:semiHidden/>
    <w:unhideWhenUsed/>
    <w:rsid w:val="00811F11"/>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811F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24751">
      <w:bodyDiv w:val="1"/>
      <w:marLeft w:val="0"/>
      <w:marRight w:val="0"/>
      <w:marTop w:val="0"/>
      <w:marBottom w:val="0"/>
      <w:divBdr>
        <w:top w:val="none" w:sz="0" w:space="0" w:color="auto"/>
        <w:left w:val="none" w:sz="0" w:space="0" w:color="auto"/>
        <w:bottom w:val="none" w:sz="0" w:space="0" w:color="auto"/>
        <w:right w:val="none" w:sz="0" w:space="0" w:color="auto"/>
      </w:divBdr>
    </w:div>
    <w:div w:id="568732398">
      <w:bodyDiv w:val="1"/>
      <w:marLeft w:val="0"/>
      <w:marRight w:val="0"/>
      <w:marTop w:val="0"/>
      <w:marBottom w:val="0"/>
      <w:divBdr>
        <w:top w:val="none" w:sz="0" w:space="0" w:color="auto"/>
        <w:left w:val="none" w:sz="0" w:space="0" w:color="auto"/>
        <w:bottom w:val="none" w:sz="0" w:space="0" w:color="auto"/>
        <w:right w:val="none" w:sz="0" w:space="0" w:color="auto"/>
      </w:divBdr>
    </w:div>
    <w:div w:id="587540988">
      <w:bodyDiv w:val="1"/>
      <w:marLeft w:val="0"/>
      <w:marRight w:val="0"/>
      <w:marTop w:val="0"/>
      <w:marBottom w:val="0"/>
      <w:divBdr>
        <w:top w:val="none" w:sz="0" w:space="0" w:color="auto"/>
        <w:left w:val="none" w:sz="0" w:space="0" w:color="auto"/>
        <w:bottom w:val="none" w:sz="0" w:space="0" w:color="auto"/>
        <w:right w:val="none" w:sz="0" w:space="0" w:color="auto"/>
      </w:divBdr>
    </w:div>
    <w:div w:id="603419886">
      <w:bodyDiv w:val="1"/>
      <w:marLeft w:val="0"/>
      <w:marRight w:val="0"/>
      <w:marTop w:val="0"/>
      <w:marBottom w:val="0"/>
      <w:divBdr>
        <w:top w:val="none" w:sz="0" w:space="0" w:color="auto"/>
        <w:left w:val="none" w:sz="0" w:space="0" w:color="auto"/>
        <w:bottom w:val="none" w:sz="0" w:space="0" w:color="auto"/>
        <w:right w:val="none" w:sz="0" w:space="0" w:color="auto"/>
      </w:divBdr>
    </w:div>
    <w:div w:id="1235969688">
      <w:bodyDiv w:val="1"/>
      <w:marLeft w:val="0"/>
      <w:marRight w:val="0"/>
      <w:marTop w:val="0"/>
      <w:marBottom w:val="0"/>
      <w:divBdr>
        <w:top w:val="none" w:sz="0" w:space="0" w:color="auto"/>
        <w:left w:val="none" w:sz="0" w:space="0" w:color="auto"/>
        <w:bottom w:val="none" w:sz="0" w:space="0" w:color="auto"/>
        <w:right w:val="none" w:sz="0" w:space="0" w:color="auto"/>
      </w:divBdr>
    </w:div>
    <w:div w:id="146161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602</Words>
  <Characters>3252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Panagiotis</cp:lastModifiedBy>
  <cp:revision>3</cp:revision>
  <cp:lastPrinted>2019-02-25T14:30:00Z</cp:lastPrinted>
  <dcterms:created xsi:type="dcterms:W3CDTF">2019-02-25T16:11:00Z</dcterms:created>
  <dcterms:modified xsi:type="dcterms:W3CDTF">2019-03-05T10:44:00Z</dcterms:modified>
</cp:coreProperties>
</file>