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F66DA" w14:textId="77777777" w:rsidR="00F34712" w:rsidRPr="00F34712" w:rsidRDefault="00F34712" w:rsidP="00F34712">
      <w:pPr>
        <w:spacing w:before="100" w:beforeAutospacing="1" w:after="100" w:afterAutospacing="1"/>
        <w:outlineLvl w:val="2"/>
        <w:rPr>
          <w:rFonts w:ascii="Times New Roman" w:hAnsi="Times New Roman"/>
          <w:b/>
          <w:bCs/>
          <w:sz w:val="27"/>
          <w:szCs w:val="27"/>
          <w:lang w:val="el-GR" w:eastAsia="en-GB"/>
        </w:rPr>
      </w:pPr>
      <w:r w:rsidRPr="00F34712">
        <w:rPr>
          <w:rFonts w:ascii="Times New Roman" w:hAnsi="Times New Roman"/>
          <w:b/>
          <w:bCs/>
          <w:sz w:val="27"/>
          <w:szCs w:val="27"/>
          <w:lang w:val="el-GR" w:eastAsia="en-GB"/>
        </w:rPr>
        <w:t>ΑΙΣΧΙΝ 1.26–32</w:t>
      </w:r>
    </w:p>
    <w:p w14:paraId="26B9A3BF" w14:textId="77777777" w:rsidR="00F34712" w:rsidRPr="00F34712" w:rsidRDefault="00F34712" w:rsidP="00F34712">
      <w:pPr>
        <w:rPr>
          <w:rFonts w:ascii="Times New Roman" w:hAnsi="Times New Roman"/>
          <w:lang w:val="el-GR" w:eastAsia="en-GB"/>
        </w:rPr>
      </w:pPr>
      <w:r w:rsidRPr="00F34712">
        <w:rPr>
          <w:rFonts w:ascii="Times New Roman" w:hAnsi="Times New Roman"/>
          <w:b/>
          <w:bCs/>
          <w:lang w:val="el-GR" w:eastAsia="en-GB"/>
        </w:rPr>
        <w:t>Η αναισχυντία του Τίμαρχου – Τι προβλέπει ο νόμος "περὶ δοκιμασίας ῥητόρων"</w:t>
      </w:r>
      <w:r w:rsidRPr="00F34712">
        <w:rPr>
          <w:rFonts w:ascii="Times New Roman" w:hAnsi="Times New Roman"/>
          <w:lang w:val="el-GR" w:eastAsia="en-GB"/>
        </w:rPr>
        <w:t xml:space="preserve"> </w:t>
      </w:r>
    </w:p>
    <w:p w14:paraId="3ACB951A" w14:textId="77777777" w:rsidR="00F34712" w:rsidRPr="00F34712" w:rsidRDefault="00F34712" w:rsidP="00F34712">
      <w:pPr>
        <w:rPr>
          <w:rFonts w:ascii="Times New Roman" w:hAnsi="Times New Roman"/>
          <w:lang w:eastAsia="en-GB"/>
        </w:rPr>
      </w:pPr>
      <w:r w:rsidRPr="00F34712">
        <w:rPr>
          <w:rFonts w:ascii="Times New Roman" w:hAnsi="Times New Roman"/>
          <w:lang w:val="el-GR" w:eastAsia="en-GB"/>
        </w:rPr>
        <w:t xml:space="preserve">Συνεχίζοντας το εκτενές </w:t>
      </w:r>
      <w:r w:rsidRPr="00F34712">
        <w:rPr>
          <w:rFonts w:ascii="Times New Roman" w:hAnsi="Times New Roman"/>
          <w:i/>
          <w:iCs/>
          <w:lang w:val="el-GR" w:eastAsia="en-GB"/>
        </w:rPr>
        <w:t>προοίμιόν</w:t>
      </w:r>
      <w:r w:rsidRPr="00F34712">
        <w:rPr>
          <w:rFonts w:ascii="Times New Roman" w:hAnsi="Times New Roman"/>
          <w:lang w:val="el-GR" w:eastAsia="en-GB"/>
        </w:rPr>
        <w:t xml:space="preserve"> του (βλ. και ΑΙΣΧΙΝ 1.1–7) ο Αισχίνης αναφέρθηκε διεξοδικά στους νόμους που καθόριζαν την πρέπουσα διαγωγή των πολιτών και τη δημόσια </w:t>
      </w:r>
      <w:r w:rsidRPr="00F34712">
        <w:rPr>
          <w:rFonts w:ascii="Times New Roman" w:hAnsi="Times New Roman"/>
          <w:i/>
          <w:iCs/>
          <w:lang w:val="el-GR" w:eastAsia="en-GB"/>
        </w:rPr>
        <w:t>εὐκοσμίαν</w:t>
      </w:r>
      <w:r w:rsidRPr="00F34712">
        <w:rPr>
          <w:rFonts w:ascii="Times New Roman" w:hAnsi="Times New Roman"/>
          <w:lang w:val="el-GR" w:eastAsia="en-GB"/>
        </w:rPr>
        <w:t xml:space="preserve"> , ενώ στη συνέχεια επικαλέστηκε την κοσμιότητα εμβληματικών μορφών του αθηναϊκού παρελθόντος. Κάλεσε, μάλιστα, τους ακροατές του να θυμηθούν έναν ανδριάντα, που αναπαριστούσε τον Σόλωνα με τα χέρια κρυμμένα κάτω από τον μανδύα, στάση με την οποία ο νομοθέτης μιλούσε προς τον λαό. </w:t>
      </w:r>
      <w:r w:rsidRPr="00F34712">
        <w:rPr>
          <w:rFonts w:ascii="Times New Roman" w:hAnsi="Times New Roman"/>
          <w:lang w:eastAsia="en-GB"/>
        </w:rPr>
        <w:t>Και συνεχίζει:</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25"/>
      </w:tblGrid>
      <w:tr w:rsidR="00F34712" w:rsidRPr="00F34712" w14:paraId="6BB99354" w14:textId="77777777" w:rsidTr="00F34712">
        <w:trPr>
          <w:tblCellSpacing w:w="15" w:type="dxa"/>
          <w:jc w:val="center"/>
        </w:trPr>
        <w:tc>
          <w:tcPr>
            <w:tcW w:w="0" w:type="auto"/>
            <w:vAlign w:val="center"/>
            <w:hideMark/>
          </w:tcPr>
          <w:p w14:paraId="2F23E18F" w14:textId="77777777" w:rsidR="00F34712" w:rsidRPr="00F34712" w:rsidRDefault="00F34712" w:rsidP="00F34712">
            <w:pPr>
              <w:spacing w:before="100" w:beforeAutospacing="1" w:after="100" w:afterAutospacing="1"/>
              <w:rPr>
                <w:rFonts w:ascii="Times New Roman" w:hAnsi="Times New Roman"/>
                <w:lang w:eastAsia="en-GB"/>
              </w:rPr>
            </w:pPr>
            <w:r w:rsidRPr="00F34712">
              <w:rPr>
                <w:rFonts w:ascii="Times New Roman" w:hAnsi="Times New Roman"/>
                <w:lang w:eastAsia="en-GB"/>
              </w:rPr>
              <w:t>    [26] Σκέψασθε δή, ὦ ἄνδρες Ἀθηναῖοι, ὅσον διαφέρει ὁ</w:t>
            </w:r>
            <w:r w:rsidRPr="00F34712">
              <w:rPr>
                <w:rFonts w:ascii="Times New Roman" w:hAnsi="Times New Roman"/>
                <w:lang w:eastAsia="en-GB"/>
              </w:rPr>
              <w:br/>
              <w:t>Σόλων Τιμάρχου καὶ οἱ ἄνδρες ἐκεῖνοι ὧν ὀλίγῳ πρότερον</w:t>
            </w:r>
            <w:r w:rsidRPr="00F34712">
              <w:rPr>
                <w:rFonts w:ascii="Times New Roman" w:hAnsi="Times New Roman"/>
                <w:lang w:eastAsia="en-GB"/>
              </w:rPr>
              <w:br/>
              <w:t>ἐπεμνήσθην. ἐκεῖνοι μέν γε ᾐσχύνοντο ἔξω τὴν χεῖρα</w:t>
            </w:r>
            <w:r w:rsidRPr="00F34712">
              <w:rPr>
                <w:rFonts w:ascii="Times New Roman" w:hAnsi="Times New Roman"/>
                <w:lang w:eastAsia="en-GB"/>
              </w:rPr>
              <w:br/>
              <w:t>ἔχοντες λέγειν, οὑτοσὶ δὲ οὐ πάλαι, ἀλλὰ πρώην ποτὲ</w:t>
            </w:r>
            <w:r w:rsidRPr="00F34712">
              <w:rPr>
                <w:rFonts w:ascii="Times New Roman" w:hAnsi="Times New Roman"/>
                <w:lang w:eastAsia="en-GB"/>
              </w:rPr>
              <w:br/>
              <w:t>ῥίψας θοἰμάτιον γυμνὸς ἐπαγκρατίαζεν ἐν τῇ ἐκκλησίᾳ,</w:t>
            </w:r>
            <w:r w:rsidRPr="00F34712">
              <w:rPr>
                <w:rFonts w:ascii="Times New Roman" w:hAnsi="Times New Roman"/>
                <w:lang w:eastAsia="en-GB"/>
              </w:rPr>
              <w:br/>
              <w:t>οὕτω κακῶς καὶ αἰσχρῶς διακείμενος τὸ σῶμα ὑπὸ μέθης</w:t>
            </w:r>
            <w:r w:rsidRPr="00F34712">
              <w:rPr>
                <w:rFonts w:ascii="Times New Roman" w:hAnsi="Times New Roman"/>
                <w:lang w:eastAsia="en-GB"/>
              </w:rPr>
              <w:br/>
              <w:t>καὶ βδελυρίας, ὥστε τούς γε εὖ φρονοῦντας ἐγκαλύψασθαι,</w:t>
            </w:r>
            <w:r w:rsidRPr="00F34712">
              <w:rPr>
                <w:rFonts w:ascii="Times New Roman" w:hAnsi="Times New Roman"/>
                <w:lang w:eastAsia="en-GB"/>
              </w:rPr>
              <w:br/>
              <w:t>αἰσχυνθέντας ὑπὲρ τῆς πόλεως, εἰ τοιούτοις συμβούλοις</w:t>
            </w:r>
            <w:r w:rsidRPr="00F34712">
              <w:rPr>
                <w:rFonts w:ascii="Times New Roman" w:hAnsi="Times New Roman"/>
                <w:lang w:eastAsia="en-GB"/>
              </w:rPr>
              <w:br/>
              <w:t>χρώμεθα. [27] ἃ συνιδὼν ὁ νομοθέτης διαρρήδην ἀπέδειξεν οὓς</w:t>
            </w:r>
            <w:r w:rsidRPr="00F34712">
              <w:rPr>
                <w:rFonts w:ascii="Times New Roman" w:hAnsi="Times New Roman"/>
                <w:lang w:eastAsia="en-GB"/>
              </w:rPr>
              <w:br/>
              <w:t>χρὴ δημηγορεῖν καὶ οὓς οὐ δεῖ λέγειν ἐν τῷ δήμῳ. καὶ οὐκ</w:t>
            </w:r>
            <w:r w:rsidRPr="00F34712">
              <w:rPr>
                <w:rFonts w:ascii="Times New Roman" w:hAnsi="Times New Roman"/>
                <w:lang w:eastAsia="en-GB"/>
              </w:rPr>
              <w:br/>
              <w:t>ἀπελαύνει ἀπὸ τοῦ βήματος, εἴ τις μὴ προγόνων ἐστὶν</w:t>
            </w:r>
            <w:r w:rsidRPr="00F34712">
              <w:rPr>
                <w:rFonts w:ascii="Times New Roman" w:hAnsi="Times New Roman"/>
                <w:lang w:eastAsia="en-GB"/>
              </w:rPr>
              <w:br/>
              <w:t>ἐστρατηγηκότων, οὐδέ γε εἰ τέχνην τινὰ ἐργάζεται ἐπικου-</w:t>
            </w:r>
            <w:r w:rsidRPr="00F34712">
              <w:rPr>
                <w:rFonts w:ascii="Times New Roman" w:hAnsi="Times New Roman"/>
                <w:lang w:eastAsia="en-GB"/>
              </w:rPr>
              <w:br/>
              <w:t>ρῶν τῇ ἀναγκαίᾳ τροφῇ, ἀλλὰ τούτους καὶ μάλιστα ἀσπάζε-</w:t>
            </w:r>
            <w:r w:rsidRPr="00F34712">
              <w:rPr>
                <w:rFonts w:ascii="Times New Roman" w:hAnsi="Times New Roman"/>
                <w:lang w:eastAsia="en-GB"/>
              </w:rPr>
              <w:br/>
              <w:t>ται, καὶ διὰ τοῦτο πολλάκις ἐπερωτᾷ, τίς ἀγορεύειν βούλεται.</w:t>
            </w:r>
          </w:p>
          <w:p w14:paraId="0E90FFFF" w14:textId="77777777" w:rsidR="00F34712" w:rsidRPr="00F34712" w:rsidRDefault="00F34712" w:rsidP="00F34712">
            <w:pPr>
              <w:spacing w:before="100" w:beforeAutospacing="1" w:after="100" w:afterAutospacing="1"/>
              <w:rPr>
                <w:rFonts w:ascii="Times New Roman" w:hAnsi="Times New Roman"/>
                <w:lang w:eastAsia="en-GB"/>
              </w:rPr>
            </w:pPr>
            <w:r w:rsidRPr="00F34712">
              <w:rPr>
                <w:rFonts w:ascii="Times New Roman" w:hAnsi="Times New Roman"/>
                <w:lang w:eastAsia="en-GB"/>
              </w:rPr>
              <w:t>    [28] Τίνας δ’ οὐκ ᾤετο δεῖν λέγειν; τοὺς αἰσχρῶς βεβιωκότας·</w:t>
            </w:r>
            <w:r w:rsidRPr="00F34712">
              <w:rPr>
                <w:rFonts w:ascii="Times New Roman" w:hAnsi="Times New Roman"/>
                <w:lang w:eastAsia="en-GB"/>
              </w:rPr>
              <w:br/>
              <w:t>τούτους οὐκ ἐᾷ δημηγορεῖν. καὶ ποῦ τοῦτο δηλοῖ; «Δοκιμασία»,</w:t>
            </w:r>
            <w:r w:rsidRPr="00F34712">
              <w:rPr>
                <w:rFonts w:ascii="Times New Roman" w:hAnsi="Times New Roman"/>
                <w:lang w:eastAsia="en-GB"/>
              </w:rPr>
              <w:br/>
              <w:t>φησί, «ῥητόρων· ἐάν τις λέγῃ ἐν τῷ δήμῳ τὸν πατέρα τύπτων</w:t>
            </w:r>
            <w:r w:rsidRPr="00F34712">
              <w:rPr>
                <w:rFonts w:ascii="Times New Roman" w:hAnsi="Times New Roman"/>
                <w:lang w:eastAsia="en-GB"/>
              </w:rPr>
              <w:br/>
              <w:t>ἢ τὴν μητέρα, ἢ μὴ τρέφων, ἢ μὴ παρέχων οἴκησιν·» τοῦτον</w:t>
            </w:r>
            <w:r w:rsidRPr="00F34712">
              <w:rPr>
                <w:rFonts w:ascii="Times New Roman" w:hAnsi="Times New Roman"/>
                <w:lang w:eastAsia="en-GB"/>
              </w:rPr>
              <w:br/>
              <w:t>οὐκ ἐᾷ λέγειν. νὴ Δία καλῶς γε, ὡς ἔγωγέ φημι. διὰ τί; ὅτι</w:t>
            </w:r>
            <w:r w:rsidRPr="00F34712">
              <w:rPr>
                <w:rFonts w:ascii="Times New Roman" w:hAnsi="Times New Roman"/>
                <w:lang w:eastAsia="en-GB"/>
              </w:rPr>
              <w:br/>
              <w:t>εἴ τις, οὓς ἐξ ἴσου δεῖ τιμᾶν τοῖς θεοῖς, εἰς τούτους ἐστὶ φαῦ-</w:t>
            </w:r>
            <w:r w:rsidRPr="00F34712">
              <w:rPr>
                <w:rFonts w:ascii="Times New Roman" w:hAnsi="Times New Roman"/>
                <w:lang w:eastAsia="en-GB"/>
              </w:rPr>
              <w:br/>
              <w:t>λος, τί ποτε, φησίν, ὑπ’ αὐτοῦ πείσονται οἱ ἀλλότριοι καὶ ἡ</w:t>
            </w:r>
            <w:r w:rsidRPr="00F34712">
              <w:rPr>
                <w:rFonts w:ascii="Times New Roman" w:hAnsi="Times New Roman"/>
                <w:lang w:eastAsia="en-GB"/>
              </w:rPr>
              <w:br/>
              <w:t>πόλις ὅλη; καὶ τίσι δεύτερον ἀπεῖπε μὴ λέγειν; [29] «Ἢ τὰς στρα-</w:t>
            </w:r>
            <w:r w:rsidRPr="00F34712">
              <w:rPr>
                <w:rFonts w:ascii="Times New Roman" w:hAnsi="Times New Roman"/>
                <w:lang w:eastAsia="en-GB"/>
              </w:rPr>
              <w:br/>
              <w:t>τείας», φησί, «μὴ ἐστρατευμένος, ὅσαι ἂν αὐτῷ προσταχθῶ-</w:t>
            </w:r>
            <w:r w:rsidRPr="00F34712">
              <w:rPr>
                <w:rFonts w:ascii="Times New Roman" w:hAnsi="Times New Roman"/>
                <w:lang w:eastAsia="en-GB"/>
              </w:rPr>
              <w:br/>
              <w:t>σιν, ἢ τὴν ἀσπίδα ἀποβεβληκώς», δίκαια λέγων. τί δή ποτε;</w:t>
            </w:r>
            <w:r w:rsidRPr="00F34712">
              <w:rPr>
                <w:rFonts w:ascii="Times New Roman" w:hAnsi="Times New Roman"/>
                <w:lang w:eastAsia="en-GB"/>
              </w:rPr>
              <w:br/>
              <w:t>ἄνθρωπε, τῇ πόλει, ὑπὲρ ἧς τὰ ὅπλα μὴ τίθεσαι ἢ διὰ δειλίαν</w:t>
            </w:r>
            <w:r w:rsidRPr="00F34712">
              <w:rPr>
                <w:rFonts w:ascii="Times New Roman" w:hAnsi="Times New Roman"/>
                <w:lang w:eastAsia="en-GB"/>
              </w:rPr>
              <w:br/>
              <w:t>μὴ δυνατὸς εἶ ἐπαμῦναι, μηδὲ συμβουλεύειν ἀξίου. τρίτον</w:t>
            </w:r>
            <w:r w:rsidRPr="00F34712">
              <w:rPr>
                <w:rFonts w:ascii="Times New Roman" w:hAnsi="Times New Roman"/>
                <w:lang w:eastAsia="en-GB"/>
              </w:rPr>
              <w:br/>
              <w:t>τίσι διαλέγεται; «Ἢ πεπορνευμένος», φησίν, «ἢ ἡταιρηκώς»·</w:t>
            </w:r>
            <w:r w:rsidRPr="00F34712">
              <w:rPr>
                <w:rFonts w:ascii="Times New Roman" w:hAnsi="Times New Roman"/>
                <w:lang w:eastAsia="en-GB"/>
              </w:rPr>
              <w:br/>
              <w:t>τὸν γὰρ τὸ σῶμα τὸ ἑαυτοῦ ἐφ’ ὕβρει πεπρακότα, καὶ τὰ</w:t>
            </w:r>
            <w:r w:rsidRPr="00F34712">
              <w:rPr>
                <w:rFonts w:ascii="Times New Roman" w:hAnsi="Times New Roman"/>
                <w:lang w:eastAsia="en-GB"/>
              </w:rPr>
              <w:br/>
              <w:t>κοινὰ τῆς πόλεως ῥᾳδίως ἡγήσατο ἀποδώσεσθαι. [30] τέταρτον</w:t>
            </w:r>
            <w:r w:rsidRPr="00F34712">
              <w:rPr>
                <w:rFonts w:ascii="Times New Roman" w:hAnsi="Times New Roman"/>
                <w:lang w:eastAsia="en-GB"/>
              </w:rPr>
              <w:br/>
              <w:t>τίσι διαλέγεται; «Ἢ τὰ πατρῷα», φησί, «κατεδηδοκώς, ἢ ὧν</w:t>
            </w:r>
            <w:r w:rsidRPr="00F34712">
              <w:rPr>
                <w:rFonts w:ascii="Times New Roman" w:hAnsi="Times New Roman"/>
                <w:lang w:eastAsia="en-GB"/>
              </w:rPr>
              <w:br/>
              <w:t>ἂν κληρονόμος γένηται»· τὸν γὰρ τὴν ἰδίαν οἰκίαν κακῶς</w:t>
            </w:r>
            <w:r w:rsidRPr="00F34712">
              <w:rPr>
                <w:rFonts w:ascii="Times New Roman" w:hAnsi="Times New Roman"/>
                <w:lang w:eastAsia="en-GB"/>
              </w:rPr>
              <w:br/>
              <w:t>οἰκήσαντα, καὶ τὰ κοινὰ τῆς πόλεως παραπλησίως ἡγήσατο</w:t>
            </w:r>
            <w:r w:rsidRPr="00F34712">
              <w:rPr>
                <w:rFonts w:ascii="Times New Roman" w:hAnsi="Times New Roman"/>
                <w:lang w:eastAsia="en-GB"/>
              </w:rPr>
              <w:br/>
              <w:t>διαθήσειν, καὶ οὐκ ἐδόκει οἷόν τ’ εἶναι τῷ νομοθέτῃ τὸν</w:t>
            </w:r>
            <w:r w:rsidRPr="00F34712">
              <w:rPr>
                <w:rFonts w:ascii="Times New Roman" w:hAnsi="Times New Roman"/>
                <w:lang w:eastAsia="en-GB"/>
              </w:rPr>
              <w:br/>
              <w:t>αὐτὸν ἄνθρωπον ἰδίᾳ μὲν εἶναι πονηρόν, δημοσίᾳ δὲ χρη-</w:t>
            </w:r>
            <w:r w:rsidRPr="00F34712">
              <w:rPr>
                <w:rFonts w:ascii="Times New Roman" w:hAnsi="Times New Roman"/>
                <w:lang w:eastAsia="en-GB"/>
              </w:rPr>
              <w:br/>
              <w:t>στόν, οὐδ’ ᾤετο δεῖν τὸν ῥήτορα ἥκειν ἐπὶ τὸ βῆμα τῶν</w:t>
            </w:r>
            <w:r w:rsidRPr="00F34712">
              <w:rPr>
                <w:rFonts w:ascii="Times New Roman" w:hAnsi="Times New Roman"/>
                <w:lang w:eastAsia="en-GB"/>
              </w:rPr>
              <w:br/>
              <w:t>λόγων ἐπιμεληθέντα πρότερον, ἀλλ’ οὐ τοῦ βίου. [31] καὶ παρὰ</w:t>
            </w:r>
            <w:r w:rsidRPr="00F34712">
              <w:rPr>
                <w:rFonts w:ascii="Times New Roman" w:hAnsi="Times New Roman"/>
                <w:lang w:eastAsia="en-GB"/>
              </w:rPr>
              <w:br/>
              <w:t>μὲν ἀνδρὸς καλοῦ καὶ ἀγαθοῦ, κἂν πάνυ κακῶς καὶ ἁπλῶς</w:t>
            </w:r>
            <w:r w:rsidRPr="00F34712">
              <w:rPr>
                <w:rFonts w:ascii="Times New Roman" w:hAnsi="Times New Roman"/>
                <w:lang w:eastAsia="en-GB"/>
              </w:rPr>
              <w:br/>
              <w:t>ῥηθῇ, χρήσιμα τὰ λεγόμενα ἡγήσατο εἶναι τοῖς ἀκούουσι·</w:t>
            </w:r>
            <w:r w:rsidRPr="00F34712">
              <w:rPr>
                <w:rFonts w:ascii="Times New Roman" w:hAnsi="Times New Roman"/>
                <w:lang w:eastAsia="en-GB"/>
              </w:rPr>
              <w:br/>
              <w:t>παρὰ δὲ ἀνθρώπου βδελυροῦ, καὶ καταγελάστως μὲν κε-</w:t>
            </w:r>
            <w:r w:rsidRPr="00F34712">
              <w:rPr>
                <w:rFonts w:ascii="Times New Roman" w:hAnsi="Times New Roman"/>
                <w:lang w:eastAsia="en-GB"/>
              </w:rPr>
              <w:br/>
              <w:t>χρημένου τῷ ἑαυτοῦ σώματι, αἰσχρῶς δὲ τὴν πατρῴαν</w:t>
            </w:r>
            <w:r w:rsidRPr="00F34712">
              <w:rPr>
                <w:rFonts w:ascii="Times New Roman" w:hAnsi="Times New Roman"/>
                <w:lang w:eastAsia="en-GB"/>
              </w:rPr>
              <w:br/>
            </w:r>
            <w:r w:rsidRPr="00F34712">
              <w:rPr>
                <w:rFonts w:ascii="Times New Roman" w:hAnsi="Times New Roman"/>
                <w:lang w:eastAsia="en-GB"/>
              </w:rPr>
              <w:lastRenderedPageBreak/>
              <w:t>οὐσίαν κατεδηδοκότος, οὐδ’ ἂν εὖ πάνυ λεχθῇ συνοίσειν</w:t>
            </w:r>
            <w:r w:rsidRPr="00F34712">
              <w:rPr>
                <w:rFonts w:ascii="Times New Roman" w:hAnsi="Times New Roman"/>
                <w:lang w:eastAsia="en-GB"/>
              </w:rPr>
              <w:br/>
              <w:t>ἡγήσατο τοῖς ἀκούουσι. [32] τούτους οὖν ἐξείργει ἀπὸ τοῦ βή-</w:t>
            </w:r>
            <w:r w:rsidRPr="00F34712">
              <w:rPr>
                <w:rFonts w:ascii="Times New Roman" w:hAnsi="Times New Roman"/>
                <w:lang w:eastAsia="en-GB"/>
              </w:rPr>
              <w:br/>
              <w:t>ματος, τούτους ἀπαγορεύει μὴ δημηγορεῖν. ἐὰν δέ τις παρὰ</w:t>
            </w:r>
            <w:r w:rsidRPr="00F34712">
              <w:rPr>
                <w:rFonts w:ascii="Times New Roman" w:hAnsi="Times New Roman"/>
                <w:lang w:eastAsia="en-GB"/>
              </w:rPr>
              <w:br/>
              <w:t>ταῦτα μὴ μόνον λέγῃ, ἀλλὰ καὶ συκοφαντῇ καὶ ἀσελγαίνῃ,</w:t>
            </w:r>
            <w:r w:rsidRPr="00F34712">
              <w:rPr>
                <w:rFonts w:ascii="Times New Roman" w:hAnsi="Times New Roman"/>
                <w:lang w:eastAsia="en-GB"/>
              </w:rPr>
              <w:br/>
              <w:t>καὶ μηκέτι τὸν τοιοῦτον ἄνθρωπον δύνηται φέρειν ἡ πόλις,</w:t>
            </w:r>
            <w:r w:rsidRPr="00F34712">
              <w:rPr>
                <w:rFonts w:ascii="Times New Roman" w:hAnsi="Times New Roman"/>
                <w:lang w:eastAsia="en-GB"/>
              </w:rPr>
              <w:br/>
              <w:t>«Δοκιμασίαν μέν», φησίν, «ἐπαγγειλάτω Ἀθηναίων ὁ βου-</w:t>
            </w:r>
            <w:r w:rsidRPr="00F34712">
              <w:rPr>
                <w:rFonts w:ascii="Times New Roman" w:hAnsi="Times New Roman"/>
                <w:lang w:eastAsia="en-GB"/>
              </w:rPr>
              <w:br/>
              <w:t>λόμενος, οἷς ἔξεστιν», ὑμᾶς δ’ ἤδη κελεύει περὶ τούτων ἐν</w:t>
            </w:r>
            <w:r w:rsidRPr="00F34712">
              <w:rPr>
                <w:rFonts w:ascii="Times New Roman" w:hAnsi="Times New Roman"/>
                <w:lang w:eastAsia="en-GB"/>
              </w:rPr>
              <w:br/>
              <w:t>τῷ δικαστηρίῳ διαγιγνώσκειν· καὶ νῦν ἐγὼ κατὰ τοῦτον τὸν</w:t>
            </w:r>
            <w:r w:rsidRPr="00F34712">
              <w:rPr>
                <w:rFonts w:ascii="Times New Roman" w:hAnsi="Times New Roman"/>
                <w:lang w:eastAsia="en-GB"/>
              </w:rPr>
              <w:br/>
              <w:t>νόμον ἥκω πρὸς ὑμᾶς.</w:t>
            </w:r>
          </w:p>
        </w:tc>
      </w:tr>
    </w:tbl>
    <w:p w14:paraId="47246111" w14:textId="77777777" w:rsidR="00F34712" w:rsidRDefault="00F34712" w:rsidP="00F34712">
      <w:pPr>
        <w:pStyle w:val="NormalWeb"/>
      </w:pPr>
      <w:r w:rsidRPr="00F34712">
        <w:rPr>
          <w:b/>
          <w:bCs/>
          <w:lang w:val="el-GR"/>
        </w:rPr>
        <w:lastRenderedPageBreak/>
        <w:t xml:space="preserve">Μτφρ. Γ. Κορδάτος &amp; Η. Ηλιού. </w:t>
      </w:r>
      <w:r>
        <w:rPr>
          <w:b/>
          <w:bCs/>
        </w:rPr>
        <w:t xml:space="preserve">[1939] χ.χ. </w:t>
      </w:r>
      <w:r>
        <w:rPr>
          <w:b/>
          <w:bCs/>
          <w:i/>
          <w:iCs/>
        </w:rPr>
        <w:t>Αισχίνης. Λόγοι</w:t>
      </w:r>
      <w:r>
        <w:rPr>
          <w:b/>
          <w:bCs/>
        </w:rPr>
        <w:t>. Εισαγωγή, μετάφραση, σχόλια. Αθήνα: Ζαχαρόπουλος.</w:t>
      </w:r>
    </w:p>
    <w:p w14:paraId="59AC9F91" w14:textId="77777777" w:rsidR="00F34712" w:rsidRDefault="00F34712" w:rsidP="00F34712">
      <w:pPr>
        <w:pStyle w:val="NormalWeb"/>
      </w:pPr>
      <w:r>
        <w:t xml:space="preserve">[26] Και τώρα σκεφθήτε πόσον διαφέρει ο Σόλων και οι άλλοι εκείνοι άνδρες, που προ ολίγου εμνημόνευσα, από τον Τίμαρχον. Εκείνοι εντρέποντο να ομιλούν επιδεικνύοντες και το χέρι των, αυτός δε, όχι προ πολλού, προχθές ακόμα, μέσα εις την συνέλευσιν επέταξε τα ρούχα του και παρίστανε τον παγκρατιαστήν ολόγυμνος. Και το κρασί και η διαφθορά τον είχαν καταντήσει σε τέτοια άθλια και αισχρά χάλια, ώστε οι παριστάμενοι νοικοκυραίοι εσκέπαζαν το πρόσωπό τους με την άκρη του ενδύματος από ντροπή για την πόλιν, η οποία χρησιμοποιεί τέτοιους συμβούλους. [27] Τα προέβλεπεν όλα αυτά ο νομοθέτης και δι' αυτό ρητώς ώρισε ποίοι ημπορούν να ομιλούν προς τον λαόν και εις ποίους τούτο απαγορεύεται. Δεν αποκλείει από το βήμα εκείνους που δεν είχαν προγόνους στρατηγούς ή που ασκούν επάγγελμα για να αντιμετωπίσουν τας ανάγκας της ζωής. Απεναντίας μάλιστα, με εύνοιαν εξαιρετικήν ακούει την γνώμην των, και δι' αυτό ρωτά και ξαναρωτά ποίος θέλει να ομιλήση. [28] Αλλά ποίους ενόμισεν ότι έπρεπε ν' αποκλείση από το βήμα; Τους αισχράς διαγωγής. Εις αυτούς απαγορεύει να ομιλούν εις δημοσίας συνελεύσεις. Και πόθεν προκύπτει αυτό; Από την διάταξιν «περί δοκιμασίας ρητόρων». Αν θέλη κανείς να αγορεύση ενώπιον του λαού, ενώ δέρνει τον πατέρα του ή την μητέρα του, ή δεν τους παρέχει τροφήν ή στέγην, του απαγορεύει ο νόμος να ομιλήση. Και πολύ σωστά, μα την αλήθεια, καθώς εγώ νομίζω. Διατί; Διότι εάν κανείς φέρεται ελεεινά προς εκείνους τους οποίους οφείλει να τιμά όσον και τους θεούς, τι άρα γε, διερωτάται, έχουν να πάθουν από αυτόν οι ξένοι και η πόλις ολόκληρος; Δεύτερον σε ποιους άλλους επέβαλε την ιδίαν απαγόρευσιν; [29] Ορθότατα, εις εκείνους οι οποίοι «δεν μετέβησαν εις τας εκστρατείας που είχαν διαταχθή να μεταβούν, ή επέταξαν την ασπίδα των και ετράπησαν εις φυγήν». Πώς το θέλεις, φίλε μου; Δεν μπορείς να δίδης συμβουλάς εις την πόλιν, αφού δεν επήρες τα όπλα υπέρ αυτής, ή από δειλίαν την εγκατέλειψες ανυπεράσπιστον. Και περί τίνων, τρίτον, πραγματεύεται ο νόμος; «Απαγορεύεται επίσης» λέγει «να ομιλούν εις τας δημοσίας συνελεύσεις και όσοι αντί χρημάτων, είχαν γίνει ερωμένοι ενός ή περισσοτέρων ανδρών». Διότι έκρινεν ο νομοθέτης ότι εκείνος που πωλεί το σώμα του προς εξευτελιστικήν χρήσιν, ευκόλως και τα συμφέροντα της πόλεως θα πωλήση. [30] Ποίους, τέταρτον, αποκλείει του δικαιώματος να ομιλούν δημοσία; «Εκείνους», λέγει, «όσοι έφαγαν την πατρικήν των περιουσίαν ή οποιανδήποτε άλλην κληρονομίαν». Διότι έκρινεν ότι εκείνος που κακώς διεχειρίσθη τα ιδιωτικά του συμφέροντα, καθ' όμοιον τρόπον θα διέθετε και τα κοινά, και δεν του εφάνη δυνατόν, ένα και το αυτό πρόσωπον, εις μεν τας ιδιωτικάς του υποθέσεις να είναι κακόν, εις δε τας δημοσίας ωφέλιμον, ούτε ενόμισε ότι διά να ανέλθη ο ρήτωρ εις το βήμα ήρκει να επιμεληθή του λόγου του και επερίττευε να επιμεληθή των έργων του. [31] Έκρινε λοιπόν ότι όσα ήθελεν είπει ενώπιον του λαού ο καλός και φρόνιμος, και αν τα έλεγεν εντελώς άτεχνα και απλά, θα ήσαν ωφέλιμα εις τους ακροατάς· ενώ όσα λέγονται από άνθρωπον διεφθαρμένον, που αδιάντροπα μετεχειρίσθη αυτό τούτο το σώμα του και χωρίς συστολήν κατέφαγε την πατρικήν του περιουσίαν, και αν ακόμη αυτός ήτο ο καλύτερος των ρητόρων, ότι πάλιν δεν </w:t>
      </w:r>
      <w:r>
        <w:lastRenderedPageBreak/>
        <w:t>θα συνέφεραν εις τους ακροατάς του. [32] Αυτούς τους πολίτας αποκλείει από το βήμα και δεν τους επιτρέπει να ομιλούν εις τας δημοσίας συνελεύσεις. Αν δε κάποιος της διαγωγής αυτής, παρ' όλ' αυτά, όχι μόνον τον λόγον λαμβάνη, αλλά και συκοφαντή και ασχημονή και γίνεται ανυπόφορος εις την πόλιν, ο νόμος ορίζει ότι «κάθε Αθηναίος απολαύων των πολιτικών του δικαιωμάτων, δικαιούται να εγείρη δημοσίαν αγωγήν και να αξιώση την δοκιμασίαν του ρήτορος». Σας δε έταξεν ο νόμος δικαστάς διά ν' αποφανθήτε επί της δοκιμασίας. Και τώρα επί τη βάσει του νόμου τούτου εμφανίζομαι ενώπιόν σας.</w:t>
      </w:r>
    </w:p>
    <w:p w14:paraId="4F0A07E5" w14:textId="77777777" w:rsidR="005F7D0E" w:rsidRDefault="00F34712">
      <w:bookmarkStart w:id="0" w:name="_GoBack"/>
      <w:bookmarkEnd w:id="0"/>
    </w:p>
    <w:sectPr w:rsidR="005F7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99"/>
    <w:rsid w:val="0042762A"/>
    <w:rsid w:val="004A39CA"/>
    <w:rsid w:val="007301B3"/>
    <w:rsid w:val="00A60662"/>
    <w:rsid w:val="00B82AEE"/>
    <w:rsid w:val="00DD2C99"/>
    <w:rsid w:val="00F34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F4EC5-FD21-466F-8F7C-013C6A5A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2A"/>
    <w:rPr>
      <w:sz w:val="24"/>
      <w:szCs w:val="24"/>
    </w:rPr>
  </w:style>
  <w:style w:type="paragraph" w:styleId="Heading3">
    <w:name w:val="heading 3"/>
    <w:basedOn w:val="Normal"/>
    <w:next w:val="Normal"/>
    <w:link w:val="Heading3Char"/>
    <w:uiPriority w:val="9"/>
    <w:qFormat/>
    <w:rsid w:val="0042762A"/>
    <w:pPr>
      <w:keepNext/>
      <w:jc w:val="center"/>
      <w:outlineLvl w:val="2"/>
    </w:pPr>
    <w:rPr>
      <w:rFonts w:ascii="Arial" w:hAnsi="Arial" w:cs="Arial"/>
      <w:b/>
      <w:bCs/>
      <w:sz w:val="28"/>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2762A"/>
    <w:rPr>
      <w:rFonts w:ascii="Arial" w:hAnsi="Arial" w:cs="Arial"/>
      <w:b/>
      <w:bCs/>
      <w:sz w:val="28"/>
      <w:lang w:val="el-GR" w:eastAsia="el-GR"/>
    </w:rPr>
  </w:style>
  <w:style w:type="character" w:styleId="Strong">
    <w:name w:val="Strong"/>
    <w:uiPriority w:val="22"/>
    <w:qFormat/>
    <w:rsid w:val="0042762A"/>
    <w:rPr>
      <w:b/>
      <w:bCs/>
    </w:rPr>
  </w:style>
  <w:style w:type="character" w:styleId="Emphasis">
    <w:name w:val="Emphasis"/>
    <w:uiPriority w:val="20"/>
    <w:qFormat/>
    <w:rsid w:val="0042762A"/>
    <w:rPr>
      <w:rFonts w:cs="Times New Roman"/>
      <w:i/>
      <w:iCs/>
    </w:rPr>
  </w:style>
  <w:style w:type="paragraph" w:styleId="ListParagraph">
    <w:name w:val="List Paragraph"/>
    <w:basedOn w:val="Normal"/>
    <w:uiPriority w:val="34"/>
    <w:qFormat/>
    <w:rsid w:val="0042762A"/>
    <w:pPr>
      <w:spacing w:after="200" w:line="276" w:lineRule="auto"/>
      <w:ind w:left="720"/>
      <w:contextualSpacing/>
    </w:pPr>
    <w:rPr>
      <w:rFonts w:ascii="Calibri" w:eastAsia="Calibri" w:hAnsi="Calibri"/>
      <w:sz w:val="22"/>
      <w:szCs w:val="22"/>
      <w:lang w:val="el-GR"/>
    </w:rPr>
  </w:style>
  <w:style w:type="paragraph" w:styleId="NormalWeb">
    <w:name w:val="Normal (Web)"/>
    <w:basedOn w:val="Normal"/>
    <w:uiPriority w:val="99"/>
    <w:semiHidden/>
    <w:unhideWhenUsed/>
    <w:rsid w:val="00F34712"/>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8170">
      <w:bodyDiv w:val="1"/>
      <w:marLeft w:val="0"/>
      <w:marRight w:val="0"/>
      <w:marTop w:val="0"/>
      <w:marBottom w:val="0"/>
      <w:divBdr>
        <w:top w:val="none" w:sz="0" w:space="0" w:color="auto"/>
        <w:left w:val="none" w:sz="0" w:space="0" w:color="auto"/>
        <w:bottom w:val="none" w:sz="0" w:space="0" w:color="auto"/>
        <w:right w:val="none" w:sz="0" w:space="0" w:color="auto"/>
      </w:divBdr>
      <w:divsChild>
        <w:div w:id="518934904">
          <w:marLeft w:val="0"/>
          <w:marRight w:val="0"/>
          <w:marTop w:val="0"/>
          <w:marBottom w:val="0"/>
          <w:divBdr>
            <w:top w:val="none" w:sz="0" w:space="0" w:color="auto"/>
            <w:left w:val="none" w:sz="0" w:space="0" w:color="auto"/>
            <w:bottom w:val="none" w:sz="0" w:space="0" w:color="auto"/>
            <w:right w:val="none" w:sz="0" w:space="0" w:color="auto"/>
          </w:divBdr>
          <w:divsChild>
            <w:div w:id="59894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4301">
      <w:bodyDiv w:val="1"/>
      <w:marLeft w:val="0"/>
      <w:marRight w:val="0"/>
      <w:marTop w:val="0"/>
      <w:marBottom w:val="0"/>
      <w:divBdr>
        <w:top w:val="none" w:sz="0" w:space="0" w:color="auto"/>
        <w:left w:val="none" w:sz="0" w:space="0" w:color="auto"/>
        <w:bottom w:val="none" w:sz="0" w:space="0" w:color="auto"/>
        <w:right w:val="none" w:sz="0" w:space="0" w:color="auto"/>
      </w:divBdr>
      <w:divsChild>
        <w:div w:id="840123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volonaki</dc:creator>
  <cp:keywords/>
  <dc:description/>
  <cp:lastModifiedBy>eleni volonaki</cp:lastModifiedBy>
  <cp:revision>2</cp:revision>
  <dcterms:created xsi:type="dcterms:W3CDTF">2020-01-25T18:35:00Z</dcterms:created>
  <dcterms:modified xsi:type="dcterms:W3CDTF">2020-01-25T18:36:00Z</dcterms:modified>
</cp:coreProperties>
</file>