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F7" w:rsidRPr="004C5EFF" w:rsidRDefault="004C5EFF" w:rsidP="004C5EFF">
      <w:pPr>
        <w:jc w:val="center"/>
        <w:rPr>
          <w:b/>
          <w:sz w:val="28"/>
          <w:szCs w:val="28"/>
        </w:rPr>
      </w:pPr>
      <w:r w:rsidRPr="004C5EFF">
        <w:rPr>
          <w:b/>
          <w:sz w:val="28"/>
          <w:szCs w:val="28"/>
        </w:rPr>
        <w:t>ΠΛΑΙΣΙΟ ΣΥΜΦΩΝΙΩΝ ΟΣΛΟ</w:t>
      </w:r>
    </w:p>
    <w:p w:rsidR="004C5EFF" w:rsidRDefault="004C5EFF" w:rsidP="004C5EFF">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579"/>
      </w:tblGrid>
      <w:tr w:rsidR="004C5EFF" w:rsidTr="00791A7C">
        <w:tblPrEx>
          <w:tblCellMar>
            <w:top w:w="0" w:type="dxa"/>
            <w:bottom w:w="0" w:type="dxa"/>
          </w:tblCellMar>
        </w:tblPrEx>
        <w:tc>
          <w:tcPr>
            <w:tcW w:w="2943" w:type="dxa"/>
          </w:tcPr>
          <w:p w:rsidR="004C5EFF" w:rsidRDefault="004C5EFF" w:rsidP="00791A7C">
            <w:pPr>
              <w:pStyle w:val="Heading1"/>
              <w:spacing w:before="120" w:after="120"/>
              <w:jc w:val="center"/>
            </w:pPr>
            <w:r>
              <w:t>Συμφωνίες</w:t>
            </w:r>
          </w:p>
        </w:tc>
        <w:tc>
          <w:tcPr>
            <w:tcW w:w="5579" w:type="dxa"/>
          </w:tcPr>
          <w:p w:rsidR="004C5EFF" w:rsidRDefault="004C5EFF" w:rsidP="00791A7C">
            <w:pPr>
              <w:pStyle w:val="Heading1"/>
              <w:spacing w:before="120" w:after="120"/>
              <w:ind w:left="318"/>
              <w:jc w:val="center"/>
            </w:pPr>
            <w:r>
              <w:t>Συμφωνηθέντα Θέματα</w:t>
            </w:r>
          </w:p>
        </w:tc>
      </w:tr>
      <w:tr w:rsidR="004C5EFF" w:rsidTr="00791A7C">
        <w:tblPrEx>
          <w:tblCellMar>
            <w:top w:w="0" w:type="dxa"/>
            <w:bottom w:w="0" w:type="dxa"/>
          </w:tblCellMar>
        </w:tblPrEx>
        <w:tc>
          <w:tcPr>
            <w:tcW w:w="2943" w:type="dxa"/>
          </w:tcPr>
          <w:p w:rsidR="004C5EFF" w:rsidRPr="004C5EFF" w:rsidRDefault="004C5EFF" w:rsidP="00791A7C">
            <w:pPr>
              <w:spacing w:before="120"/>
              <w:rPr>
                <w:lang w:val="en-US"/>
              </w:rPr>
            </w:pPr>
            <w:r w:rsidRPr="004C5EFF">
              <w:rPr>
                <w:i/>
                <w:lang w:val="en-US"/>
              </w:rPr>
              <w:t>Declaration of Principles on interim Self Government Arrangements</w:t>
            </w:r>
            <w:r w:rsidRPr="004C5EFF">
              <w:rPr>
                <w:lang w:val="en-US"/>
              </w:rPr>
              <w:t xml:space="preserve">, </w:t>
            </w:r>
          </w:p>
          <w:p w:rsidR="004C5EFF" w:rsidRDefault="004C5EFF" w:rsidP="00791A7C">
            <w:r>
              <w:t>Σεπτέμβριος 1993</w:t>
            </w:r>
          </w:p>
        </w:tc>
        <w:tc>
          <w:tcPr>
            <w:tcW w:w="5579" w:type="dxa"/>
          </w:tcPr>
          <w:p w:rsidR="004C5EFF" w:rsidRDefault="004C5EFF" w:rsidP="004C5EFF">
            <w:pPr>
              <w:pStyle w:val="BodyText2"/>
              <w:numPr>
                <w:ilvl w:val="0"/>
                <w:numId w:val="9"/>
              </w:numPr>
              <w:tabs>
                <w:tab w:val="clear" w:pos="360"/>
                <w:tab w:val="num" w:pos="420"/>
              </w:tabs>
              <w:ind w:left="420"/>
              <w:jc w:val="left"/>
              <w:rPr>
                <w:sz w:val="24"/>
              </w:rPr>
            </w:pPr>
            <w:r>
              <w:rPr>
                <w:sz w:val="24"/>
              </w:rPr>
              <w:t>Διαδικασία σταδίων που προέβλεπαν ενδιάμεση, μεταβατική περίοδο και συγκεκριμένα θέματα για το Τελικό Καθεστώς (Σύνορα-Εποικισμοί, Πρόσφυγες, Ύδατα, Ιερουσαλήμ)</w:t>
            </w:r>
          </w:p>
          <w:p w:rsidR="004C5EFF" w:rsidRDefault="004C5EFF" w:rsidP="004C5EFF">
            <w:pPr>
              <w:numPr>
                <w:ilvl w:val="0"/>
                <w:numId w:val="10"/>
              </w:numPr>
              <w:tabs>
                <w:tab w:val="clear" w:pos="360"/>
                <w:tab w:val="num" w:pos="420"/>
              </w:tabs>
              <w:spacing w:after="0" w:line="240" w:lineRule="auto"/>
              <w:ind w:left="420"/>
            </w:pPr>
            <w:r>
              <w:t>Σταδιακή Ισραηλινή αποχώρηση και αναδίπλωση από την Δυτική Όχθη και τη Λωρίδα της Γάζας</w:t>
            </w:r>
          </w:p>
          <w:p w:rsidR="004C5EFF" w:rsidRDefault="004C5EFF" w:rsidP="004C5EFF">
            <w:pPr>
              <w:numPr>
                <w:ilvl w:val="0"/>
                <w:numId w:val="11"/>
              </w:numPr>
              <w:tabs>
                <w:tab w:val="clear" w:pos="360"/>
                <w:tab w:val="num" w:pos="420"/>
              </w:tabs>
              <w:spacing w:after="0" w:line="240" w:lineRule="auto"/>
              <w:ind w:left="420"/>
            </w:pPr>
            <w:r>
              <w:t>Πρόβλεψη θεσμών Παλαιστινιακής αυτοδιοίκησης-αυτονομίας για την ενδιάμεση περίοδο</w:t>
            </w:r>
          </w:p>
        </w:tc>
      </w:tr>
      <w:tr w:rsidR="004C5EFF" w:rsidTr="00791A7C">
        <w:tblPrEx>
          <w:tblCellMar>
            <w:top w:w="0" w:type="dxa"/>
            <w:bottom w:w="0" w:type="dxa"/>
          </w:tblCellMar>
        </w:tblPrEx>
        <w:tc>
          <w:tcPr>
            <w:tcW w:w="2943" w:type="dxa"/>
          </w:tcPr>
          <w:p w:rsidR="004C5EFF" w:rsidRDefault="004C5EFF" w:rsidP="00791A7C">
            <w:pPr>
              <w:rPr>
                <w:i/>
              </w:rPr>
            </w:pPr>
          </w:p>
          <w:p w:rsidR="004C5EFF" w:rsidRPr="004C5EFF" w:rsidRDefault="004C5EFF" w:rsidP="00791A7C">
            <w:pPr>
              <w:rPr>
                <w:lang w:val="en-US"/>
              </w:rPr>
            </w:pPr>
            <w:r w:rsidRPr="004C5EFF">
              <w:rPr>
                <w:i/>
                <w:lang w:val="en-US"/>
              </w:rPr>
              <w:t>Protocol on Economic Relation</w:t>
            </w:r>
            <w:r w:rsidRPr="004C5EFF">
              <w:rPr>
                <w:lang w:val="en-US"/>
              </w:rPr>
              <w:t xml:space="preserve"> (Paris Protocol), 29 </w:t>
            </w:r>
            <w:r>
              <w:t>Απριλίου</w:t>
            </w:r>
            <w:r w:rsidRPr="004C5EFF">
              <w:rPr>
                <w:lang w:val="en-US"/>
              </w:rPr>
              <w:t xml:space="preserve"> 1994</w:t>
            </w:r>
          </w:p>
        </w:tc>
        <w:tc>
          <w:tcPr>
            <w:tcW w:w="5579" w:type="dxa"/>
          </w:tcPr>
          <w:p w:rsidR="004C5EFF" w:rsidRPr="004C5EFF" w:rsidRDefault="004C5EFF" w:rsidP="00791A7C">
            <w:pPr>
              <w:ind w:left="60"/>
              <w:rPr>
                <w:lang w:val="en-US"/>
              </w:rPr>
            </w:pPr>
          </w:p>
          <w:p w:rsidR="004C5EFF" w:rsidRDefault="004C5EFF" w:rsidP="004C5EFF">
            <w:pPr>
              <w:numPr>
                <w:ilvl w:val="0"/>
                <w:numId w:val="1"/>
              </w:numPr>
              <w:tabs>
                <w:tab w:val="clear" w:pos="360"/>
                <w:tab w:val="num" w:pos="420"/>
              </w:tabs>
              <w:spacing w:after="0" w:line="240" w:lineRule="auto"/>
              <w:ind w:left="420"/>
            </w:pPr>
            <w:r>
              <w:t>Επιβολή ισραηλινών δασμών και ΦΠΑ στα προϊόντα που παράγονται σε περιοχές της Παλαιστινιακής Αρχής και καθορισμός του τρόπου απόδοσης μέρους των εσόδων αυτών στην Παλαιστινιακή Αρχή</w:t>
            </w:r>
          </w:p>
          <w:p w:rsidR="004C5EFF" w:rsidRDefault="004C5EFF" w:rsidP="004C5EFF">
            <w:pPr>
              <w:numPr>
                <w:ilvl w:val="0"/>
                <w:numId w:val="1"/>
              </w:numPr>
              <w:tabs>
                <w:tab w:val="clear" w:pos="360"/>
                <w:tab w:val="num" w:pos="420"/>
              </w:tabs>
              <w:spacing w:after="0" w:line="240" w:lineRule="auto"/>
              <w:ind w:left="420"/>
            </w:pPr>
            <w:r>
              <w:t>Ρύθμιση του διμερούς εμπορίου αλλά και των εμπορικών σχέσεων της Παλαιστινιακής Αρχής με τρίτες χώρες (υπογράφει ως PLO)</w:t>
            </w:r>
          </w:p>
          <w:p w:rsidR="004C5EFF" w:rsidRDefault="004C5EFF" w:rsidP="004C5EFF">
            <w:pPr>
              <w:numPr>
                <w:ilvl w:val="0"/>
                <w:numId w:val="1"/>
              </w:numPr>
              <w:tabs>
                <w:tab w:val="clear" w:pos="360"/>
                <w:tab w:val="num" w:pos="420"/>
              </w:tabs>
              <w:spacing w:after="0" w:line="240" w:lineRule="auto"/>
              <w:ind w:left="420"/>
            </w:pPr>
            <w:r>
              <w:t>Δημιουργία Παλαιστινιακής Νομισματικής Αρχής</w:t>
            </w:r>
          </w:p>
        </w:tc>
      </w:tr>
      <w:tr w:rsidR="004C5EFF" w:rsidTr="00791A7C">
        <w:tblPrEx>
          <w:tblCellMar>
            <w:top w:w="0" w:type="dxa"/>
            <w:bottom w:w="0" w:type="dxa"/>
          </w:tblCellMar>
        </w:tblPrEx>
        <w:tc>
          <w:tcPr>
            <w:tcW w:w="2943" w:type="dxa"/>
          </w:tcPr>
          <w:p w:rsidR="004C5EFF" w:rsidRDefault="004C5EFF" w:rsidP="00791A7C">
            <w:pPr>
              <w:rPr>
                <w:i/>
              </w:rPr>
            </w:pPr>
          </w:p>
          <w:p w:rsidR="004C5EFF" w:rsidRDefault="004C5EFF" w:rsidP="00791A7C">
            <w:proofErr w:type="spellStart"/>
            <w:r>
              <w:rPr>
                <w:i/>
              </w:rPr>
              <w:t>Gaza</w:t>
            </w:r>
            <w:proofErr w:type="spellEnd"/>
            <w:r>
              <w:rPr>
                <w:i/>
              </w:rPr>
              <w:t xml:space="preserve"> </w:t>
            </w:r>
            <w:proofErr w:type="spellStart"/>
            <w:r>
              <w:rPr>
                <w:i/>
              </w:rPr>
              <w:t>Strip</w:t>
            </w:r>
            <w:proofErr w:type="spellEnd"/>
            <w:r>
              <w:rPr>
                <w:i/>
              </w:rPr>
              <w:t xml:space="preserve"> &amp; </w:t>
            </w:r>
            <w:proofErr w:type="spellStart"/>
            <w:r>
              <w:rPr>
                <w:i/>
              </w:rPr>
              <w:t>Jericho</w:t>
            </w:r>
            <w:proofErr w:type="spellEnd"/>
            <w:r>
              <w:rPr>
                <w:i/>
              </w:rPr>
              <w:t xml:space="preserve"> Agreement</w:t>
            </w:r>
            <w:r>
              <w:t>,</w:t>
            </w:r>
          </w:p>
          <w:p w:rsidR="004C5EFF" w:rsidRDefault="004C5EFF" w:rsidP="00791A7C">
            <w:r>
              <w:t>4 Μαΐου 1994</w:t>
            </w:r>
          </w:p>
        </w:tc>
        <w:tc>
          <w:tcPr>
            <w:tcW w:w="5579" w:type="dxa"/>
          </w:tcPr>
          <w:p w:rsidR="004C5EFF" w:rsidRDefault="004C5EFF" w:rsidP="00791A7C">
            <w:pPr>
              <w:ind w:left="60"/>
            </w:pPr>
          </w:p>
          <w:p w:rsidR="004C5EFF" w:rsidRDefault="004C5EFF" w:rsidP="004C5EFF">
            <w:pPr>
              <w:numPr>
                <w:ilvl w:val="0"/>
                <w:numId w:val="2"/>
              </w:numPr>
              <w:tabs>
                <w:tab w:val="clear" w:pos="360"/>
                <w:tab w:val="num" w:pos="420"/>
              </w:tabs>
              <w:spacing w:after="0" w:line="240" w:lineRule="auto"/>
              <w:ind w:left="420"/>
            </w:pPr>
            <w:r>
              <w:t>Ισραηλινή αναδίπλωση από την Ιεριχώ και τη Γάζα</w:t>
            </w:r>
          </w:p>
          <w:p w:rsidR="004C5EFF" w:rsidRDefault="004C5EFF" w:rsidP="004C5EFF">
            <w:pPr>
              <w:numPr>
                <w:ilvl w:val="0"/>
                <w:numId w:val="2"/>
              </w:numPr>
              <w:tabs>
                <w:tab w:val="clear" w:pos="360"/>
                <w:tab w:val="num" w:pos="420"/>
              </w:tabs>
              <w:spacing w:after="0" w:line="240" w:lineRule="auto"/>
              <w:ind w:left="420"/>
            </w:pPr>
            <w:r>
              <w:t>Θεσμοθέτηση της Παλαιστινιακής Αρχής και Παλαιστινιακής Αστυνομίας.</w:t>
            </w:r>
          </w:p>
          <w:p w:rsidR="004C5EFF" w:rsidRDefault="004C5EFF" w:rsidP="004C5EFF">
            <w:pPr>
              <w:numPr>
                <w:ilvl w:val="0"/>
                <w:numId w:val="2"/>
              </w:numPr>
              <w:tabs>
                <w:tab w:val="clear" w:pos="360"/>
                <w:tab w:val="num" w:pos="420"/>
              </w:tabs>
              <w:spacing w:after="0" w:line="240" w:lineRule="auto"/>
              <w:ind w:left="420"/>
            </w:pPr>
            <w:r>
              <w:t>Μεταφορά αρμοδιοτήτων ασφάλειας και διοίκησης των εδαφών από το οποία αναδιπλώνεται ο ισραηλινός στρατός στην Παλαιστινιακή Αρχή</w:t>
            </w:r>
          </w:p>
          <w:p w:rsidR="004C5EFF" w:rsidRDefault="004C5EFF" w:rsidP="004C5EFF">
            <w:pPr>
              <w:numPr>
                <w:ilvl w:val="0"/>
                <w:numId w:val="2"/>
              </w:numPr>
              <w:tabs>
                <w:tab w:val="clear" w:pos="360"/>
                <w:tab w:val="num" w:pos="420"/>
              </w:tabs>
              <w:spacing w:after="0" w:line="240" w:lineRule="auto"/>
              <w:ind w:left="420"/>
            </w:pPr>
            <w:r>
              <w:t xml:space="preserve">Απελευθέρωση παλαιστινίων κρατουμένων </w:t>
            </w:r>
          </w:p>
          <w:p w:rsidR="004C5EFF" w:rsidRDefault="004C5EFF" w:rsidP="004C5EFF">
            <w:pPr>
              <w:numPr>
                <w:ilvl w:val="0"/>
                <w:numId w:val="2"/>
              </w:numPr>
              <w:tabs>
                <w:tab w:val="clear" w:pos="360"/>
                <w:tab w:val="num" w:pos="420"/>
              </w:tabs>
              <w:spacing w:after="0" w:line="240" w:lineRule="auto"/>
              <w:ind w:left="420"/>
            </w:pPr>
            <w:r>
              <w:t>Παλαιστινιακή παρουσία στις προσβάσεις προς Ιορδανία και Αίγυπτο</w:t>
            </w:r>
          </w:p>
        </w:tc>
      </w:tr>
    </w:tbl>
    <w:p w:rsidR="004C5EFF" w:rsidRPr="001239DB" w:rsidRDefault="004C5EFF" w:rsidP="004C5E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579"/>
      </w:tblGrid>
      <w:tr w:rsidR="004C5EFF" w:rsidTr="00791A7C">
        <w:tblPrEx>
          <w:tblCellMar>
            <w:top w:w="0" w:type="dxa"/>
            <w:bottom w:w="0" w:type="dxa"/>
          </w:tblCellMar>
        </w:tblPrEx>
        <w:tc>
          <w:tcPr>
            <w:tcW w:w="2943" w:type="dxa"/>
          </w:tcPr>
          <w:p w:rsidR="004C5EFF" w:rsidRDefault="004C5EFF" w:rsidP="00791A7C">
            <w:pPr>
              <w:pStyle w:val="Heading1"/>
              <w:spacing w:before="120" w:after="120"/>
              <w:jc w:val="center"/>
            </w:pPr>
            <w:r>
              <w:t>Συμφωνίες</w:t>
            </w:r>
          </w:p>
        </w:tc>
        <w:tc>
          <w:tcPr>
            <w:tcW w:w="5579" w:type="dxa"/>
          </w:tcPr>
          <w:p w:rsidR="004C5EFF" w:rsidRDefault="004C5EFF" w:rsidP="00791A7C">
            <w:pPr>
              <w:pStyle w:val="Heading1"/>
              <w:spacing w:before="120" w:after="120"/>
              <w:ind w:left="318"/>
              <w:jc w:val="center"/>
            </w:pPr>
            <w:r>
              <w:t>Συμφωνηθέντα Θέματα</w:t>
            </w:r>
          </w:p>
        </w:tc>
      </w:tr>
      <w:tr w:rsidR="004C5EFF" w:rsidTr="00791A7C">
        <w:tblPrEx>
          <w:tblCellMar>
            <w:top w:w="0" w:type="dxa"/>
            <w:bottom w:w="0" w:type="dxa"/>
          </w:tblCellMar>
        </w:tblPrEx>
        <w:trPr>
          <w:trHeight w:val="841"/>
        </w:trPr>
        <w:tc>
          <w:tcPr>
            <w:tcW w:w="2943" w:type="dxa"/>
          </w:tcPr>
          <w:p w:rsidR="004C5EFF" w:rsidRPr="004C5EFF" w:rsidRDefault="004C5EFF" w:rsidP="00791A7C">
            <w:pPr>
              <w:spacing w:before="120"/>
              <w:rPr>
                <w:lang w:val="en-US"/>
              </w:rPr>
            </w:pPr>
            <w:r w:rsidRPr="004C5EFF">
              <w:rPr>
                <w:i/>
                <w:lang w:val="en-US"/>
              </w:rPr>
              <w:t>Interim Agreement on the West Bank and the Gaza Strip</w:t>
            </w:r>
            <w:r w:rsidRPr="004C5EFF">
              <w:rPr>
                <w:lang w:val="en-US"/>
              </w:rPr>
              <w:t xml:space="preserve">, </w:t>
            </w:r>
          </w:p>
          <w:p w:rsidR="004C5EFF" w:rsidRDefault="004C5EFF" w:rsidP="00791A7C">
            <w:r>
              <w:t>28 Σεπτεμβρίου 1995</w:t>
            </w:r>
          </w:p>
        </w:tc>
        <w:tc>
          <w:tcPr>
            <w:tcW w:w="5579" w:type="dxa"/>
          </w:tcPr>
          <w:p w:rsidR="004C5EFF" w:rsidRDefault="004C5EFF" w:rsidP="004C5EFF">
            <w:pPr>
              <w:numPr>
                <w:ilvl w:val="0"/>
                <w:numId w:val="6"/>
              </w:numPr>
              <w:tabs>
                <w:tab w:val="clear" w:pos="360"/>
                <w:tab w:val="num" w:pos="420"/>
              </w:tabs>
              <w:spacing w:before="120" w:after="0" w:line="240" w:lineRule="auto"/>
              <w:ind w:left="419" w:hanging="357"/>
            </w:pPr>
            <w:r>
              <w:t xml:space="preserve">Εκλογές για Παλαιστινιακό Νομοθετικό Συμβούλιο (Palestinian </w:t>
            </w:r>
            <w:proofErr w:type="spellStart"/>
            <w:r>
              <w:t>Legislative</w:t>
            </w:r>
            <w:proofErr w:type="spellEnd"/>
            <w:r>
              <w:t xml:space="preserve"> Council)</w:t>
            </w:r>
          </w:p>
          <w:p w:rsidR="004C5EFF" w:rsidRDefault="004C5EFF" w:rsidP="004C5EFF">
            <w:pPr>
              <w:numPr>
                <w:ilvl w:val="0"/>
                <w:numId w:val="3"/>
              </w:numPr>
              <w:tabs>
                <w:tab w:val="clear" w:pos="360"/>
                <w:tab w:val="num" w:pos="420"/>
              </w:tabs>
              <w:spacing w:after="0" w:line="240" w:lineRule="auto"/>
              <w:ind w:left="420"/>
            </w:pPr>
            <w:r>
              <w:t xml:space="preserve">Εντολή για αναδίπλωση πριν τις εκλογές από τις κατοικημένες περιοχές της </w:t>
            </w:r>
            <w:proofErr w:type="spellStart"/>
            <w:r>
              <w:t>Δυτ</w:t>
            </w:r>
            <w:proofErr w:type="spellEnd"/>
            <w:r>
              <w:t>. Όχθης και πρόνοια για τρεις ακόμη φάσεις αναδίπλωσης</w:t>
            </w:r>
          </w:p>
          <w:p w:rsidR="004C5EFF" w:rsidRDefault="004C5EFF" w:rsidP="004C5EFF">
            <w:pPr>
              <w:numPr>
                <w:ilvl w:val="0"/>
                <w:numId w:val="3"/>
              </w:numPr>
              <w:tabs>
                <w:tab w:val="clear" w:pos="360"/>
                <w:tab w:val="num" w:pos="420"/>
              </w:tabs>
              <w:spacing w:after="0" w:line="240" w:lineRule="auto"/>
              <w:ind w:left="420"/>
            </w:pPr>
            <w:r>
              <w:t xml:space="preserve">Καθορισμός ζώνης Α (Παλαιστινιακή ευθύνη ασφάλειας &amp; πολιτικής διοίκησης), Β (κοινή ευθύνη ασφάλειας και Παλαιστινιακή πολιτική διοίκηση) και </w:t>
            </w:r>
            <w:r>
              <w:rPr>
                <w:lang w:val="en-US"/>
              </w:rPr>
              <w:t>C</w:t>
            </w:r>
            <w:r>
              <w:t xml:space="preserve"> (ισραηλινή ευθύνη ασφάλειας και παλαιστινιακή πολιτική διοίκηση) </w:t>
            </w:r>
          </w:p>
          <w:p w:rsidR="004C5EFF" w:rsidRDefault="004C5EFF" w:rsidP="004C5EFF">
            <w:pPr>
              <w:numPr>
                <w:ilvl w:val="0"/>
                <w:numId w:val="3"/>
              </w:numPr>
              <w:tabs>
                <w:tab w:val="clear" w:pos="360"/>
                <w:tab w:val="num" w:pos="420"/>
              </w:tabs>
              <w:spacing w:after="0" w:line="240" w:lineRule="auto"/>
              <w:ind w:left="420"/>
            </w:pPr>
            <w:r>
              <w:t xml:space="preserve">Ασφαλής δίοδος μεταξύ Γάζας και </w:t>
            </w:r>
            <w:proofErr w:type="spellStart"/>
            <w:r>
              <w:t>Δυτ</w:t>
            </w:r>
            <w:proofErr w:type="spellEnd"/>
            <w:r>
              <w:t>. Όχθης</w:t>
            </w:r>
          </w:p>
          <w:p w:rsidR="004C5EFF" w:rsidRDefault="004C5EFF" w:rsidP="004C5EFF">
            <w:pPr>
              <w:numPr>
                <w:ilvl w:val="0"/>
                <w:numId w:val="3"/>
              </w:numPr>
              <w:tabs>
                <w:tab w:val="clear" w:pos="360"/>
                <w:tab w:val="num" w:pos="420"/>
              </w:tabs>
              <w:spacing w:after="0" w:line="240" w:lineRule="auto"/>
              <w:ind w:left="420"/>
            </w:pPr>
            <w:r>
              <w:t>Συνέχιση απελευθέρωσης κρατουμένων</w:t>
            </w:r>
          </w:p>
        </w:tc>
      </w:tr>
      <w:tr w:rsidR="004C5EFF" w:rsidTr="00791A7C">
        <w:tblPrEx>
          <w:tblCellMar>
            <w:top w:w="0" w:type="dxa"/>
            <w:bottom w:w="0" w:type="dxa"/>
          </w:tblCellMar>
        </w:tblPrEx>
        <w:tc>
          <w:tcPr>
            <w:tcW w:w="2943" w:type="dxa"/>
          </w:tcPr>
          <w:p w:rsidR="004C5EFF" w:rsidRDefault="004C5EFF" w:rsidP="00791A7C">
            <w:pPr>
              <w:rPr>
                <w:i/>
              </w:rPr>
            </w:pPr>
          </w:p>
          <w:p w:rsidR="004C5EFF" w:rsidRDefault="004C5EFF" w:rsidP="00791A7C">
            <w:proofErr w:type="spellStart"/>
            <w:r>
              <w:rPr>
                <w:i/>
              </w:rPr>
              <w:t>Wye</w:t>
            </w:r>
            <w:proofErr w:type="spellEnd"/>
            <w:r>
              <w:rPr>
                <w:i/>
              </w:rPr>
              <w:t xml:space="preserve"> </w:t>
            </w:r>
            <w:proofErr w:type="spellStart"/>
            <w:r>
              <w:rPr>
                <w:i/>
              </w:rPr>
              <w:t>River</w:t>
            </w:r>
            <w:proofErr w:type="spellEnd"/>
            <w:r>
              <w:rPr>
                <w:i/>
              </w:rPr>
              <w:t xml:space="preserve"> </w:t>
            </w:r>
            <w:proofErr w:type="spellStart"/>
            <w:r>
              <w:rPr>
                <w:i/>
              </w:rPr>
              <w:t>Memorandum</w:t>
            </w:r>
            <w:proofErr w:type="spellEnd"/>
            <w:r>
              <w:t>, 23 Οκτωβρίου 1998</w:t>
            </w:r>
          </w:p>
        </w:tc>
        <w:tc>
          <w:tcPr>
            <w:tcW w:w="5579" w:type="dxa"/>
          </w:tcPr>
          <w:p w:rsidR="004C5EFF" w:rsidRDefault="004C5EFF" w:rsidP="00791A7C">
            <w:pPr>
              <w:ind w:left="60"/>
            </w:pPr>
          </w:p>
          <w:p w:rsidR="004C5EFF" w:rsidRDefault="004C5EFF" w:rsidP="004C5EFF">
            <w:pPr>
              <w:numPr>
                <w:ilvl w:val="0"/>
                <w:numId w:val="7"/>
              </w:numPr>
              <w:tabs>
                <w:tab w:val="clear" w:pos="360"/>
                <w:tab w:val="num" w:pos="420"/>
              </w:tabs>
              <w:spacing w:after="0" w:line="240" w:lineRule="auto"/>
              <w:ind w:left="420"/>
            </w:pPr>
            <w:r>
              <w:t>Έκταση της β΄ και γ΄ ισραηλινής αναδίπλωσης</w:t>
            </w:r>
          </w:p>
          <w:p w:rsidR="004C5EFF" w:rsidRDefault="004C5EFF" w:rsidP="004C5EFF">
            <w:pPr>
              <w:numPr>
                <w:ilvl w:val="0"/>
                <w:numId w:val="4"/>
              </w:numPr>
              <w:tabs>
                <w:tab w:val="clear" w:pos="360"/>
                <w:tab w:val="num" w:pos="420"/>
              </w:tabs>
              <w:spacing w:after="0" w:line="240" w:lineRule="auto"/>
              <w:ind w:left="420"/>
            </w:pPr>
            <w:r>
              <w:t>Η PLO συμφωνεί στην συλλογή όλων των παρανόμως κατεχομένων όπλων, στην συνεργασία σε θέματα ασφαλείας και σε μέτρα κατά της τρομοκρατίας.</w:t>
            </w:r>
          </w:p>
          <w:p w:rsidR="004C5EFF" w:rsidRDefault="004C5EFF" w:rsidP="004C5EFF">
            <w:pPr>
              <w:numPr>
                <w:ilvl w:val="0"/>
                <w:numId w:val="4"/>
              </w:numPr>
              <w:tabs>
                <w:tab w:val="clear" w:pos="360"/>
                <w:tab w:val="num" w:pos="420"/>
              </w:tabs>
              <w:spacing w:after="0" w:line="240" w:lineRule="auto"/>
              <w:ind w:left="420"/>
            </w:pPr>
            <w:r>
              <w:t xml:space="preserve">Θεσμοθέτηση </w:t>
            </w:r>
            <w:proofErr w:type="spellStart"/>
            <w:r>
              <w:t>Αd</w:t>
            </w:r>
            <w:proofErr w:type="spellEnd"/>
            <w:r>
              <w:t>-Hoc επιτροπής εξέτασης διμερών οικονομικών ζητημάτων</w:t>
            </w:r>
          </w:p>
          <w:p w:rsidR="004C5EFF" w:rsidRDefault="004C5EFF" w:rsidP="004C5EFF">
            <w:pPr>
              <w:numPr>
                <w:ilvl w:val="0"/>
                <w:numId w:val="4"/>
              </w:numPr>
              <w:tabs>
                <w:tab w:val="clear" w:pos="360"/>
                <w:tab w:val="num" w:pos="420"/>
              </w:tabs>
              <w:spacing w:after="0" w:line="240" w:lineRule="auto"/>
              <w:ind w:left="420"/>
            </w:pPr>
            <w:r>
              <w:t>Έναρξη συνομιλιών για το άνοιγμα του Λιμένος της Γάζας</w:t>
            </w:r>
          </w:p>
        </w:tc>
      </w:tr>
      <w:tr w:rsidR="004C5EFF" w:rsidTr="00791A7C">
        <w:tblPrEx>
          <w:tblCellMar>
            <w:top w:w="0" w:type="dxa"/>
            <w:bottom w:w="0" w:type="dxa"/>
          </w:tblCellMar>
        </w:tblPrEx>
        <w:tc>
          <w:tcPr>
            <w:tcW w:w="2943" w:type="dxa"/>
          </w:tcPr>
          <w:p w:rsidR="004C5EFF" w:rsidRDefault="004C5EFF" w:rsidP="00791A7C">
            <w:pPr>
              <w:rPr>
                <w:i/>
              </w:rPr>
            </w:pPr>
          </w:p>
          <w:p w:rsidR="004C5EFF" w:rsidRDefault="004C5EFF" w:rsidP="00791A7C">
            <w:pPr>
              <w:rPr>
                <w:lang w:val="en-US"/>
              </w:rPr>
            </w:pPr>
            <w:r w:rsidRPr="004C5EFF">
              <w:rPr>
                <w:i/>
                <w:lang w:val="en-US"/>
              </w:rPr>
              <w:t xml:space="preserve">The </w:t>
            </w:r>
            <w:proofErr w:type="spellStart"/>
            <w:r w:rsidRPr="004C5EFF">
              <w:rPr>
                <w:i/>
                <w:lang w:val="en-US"/>
              </w:rPr>
              <w:t>Sharm</w:t>
            </w:r>
            <w:proofErr w:type="spellEnd"/>
            <w:r w:rsidRPr="004C5EFF">
              <w:rPr>
                <w:i/>
                <w:lang w:val="en-US"/>
              </w:rPr>
              <w:t xml:space="preserve"> el Sheikh Memorandum</w:t>
            </w:r>
            <w:r w:rsidRPr="004C5EFF">
              <w:rPr>
                <w:lang w:val="en-US"/>
              </w:rPr>
              <w:t>,</w:t>
            </w:r>
            <w:r>
              <w:rPr>
                <w:lang w:val="en-US"/>
              </w:rPr>
              <w:t xml:space="preserve"> </w:t>
            </w:r>
          </w:p>
          <w:p w:rsidR="004C5EFF" w:rsidRDefault="004C5EFF" w:rsidP="00791A7C">
            <w:r>
              <w:t>4 Σεπτεμβρίου 1999</w:t>
            </w:r>
          </w:p>
        </w:tc>
        <w:tc>
          <w:tcPr>
            <w:tcW w:w="5579" w:type="dxa"/>
          </w:tcPr>
          <w:p w:rsidR="004C5EFF" w:rsidRDefault="004C5EFF" w:rsidP="00791A7C">
            <w:pPr>
              <w:ind w:left="60"/>
            </w:pPr>
          </w:p>
          <w:p w:rsidR="004C5EFF" w:rsidRDefault="004C5EFF" w:rsidP="004C5EFF">
            <w:pPr>
              <w:numPr>
                <w:ilvl w:val="0"/>
                <w:numId w:val="8"/>
              </w:numPr>
              <w:tabs>
                <w:tab w:val="clear" w:pos="360"/>
                <w:tab w:val="num" w:pos="420"/>
              </w:tabs>
              <w:spacing w:after="0" w:line="240" w:lineRule="auto"/>
              <w:ind w:left="420"/>
            </w:pPr>
            <w:r>
              <w:t xml:space="preserve">Συγκεκριμένο χρονοδιάγραμμα της β΄ αναδίπλωσης σε τρία «κύματα» </w:t>
            </w:r>
          </w:p>
          <w:p w:rsidR="004C5EFF" w:rsidRDefault="004C5EFF" w:rsidP="004C5EFF">
            <w:pPr>
              <w:numPr>
                <w:ilvl w:val="0"/>
                <w:numId w:val="5"/>
              </w:numPr>
              <w:tabs>
                <w:tab w:val="clear" w:pos="360"/>
                <w:tab w:val="num" w:pos="420"/>
              </w:tabs>
              <w:spacing w:after="0" w:line="240" w:lineRule="auto"/>
              <w:ind w:left="420"/>
            </w:pPr>
            <w:r>
              <w:t xml:space="preserve">Απελευθέρωση 350 ακόμη κρατουμένων και θεσμοθέτηση μικτής επιτροπής που θα πρότεινε περαιτέρω αριθμό </w:t>
            </w:r>
            <w:proofErr w:type="spellStart"/>
            <w:r>
              <w:t>αποφυλακιστέων</w:t>
            </w:r>
            <w:proofErr w:type="spellEnd"/>
          </w:p>
          <w:p w:rsidR="004C5EFF" w:rsidRDefault="004C5EFF" w:rsidP="004C5EFF">
            <w:pPr>
              <w:numPr>
                <w:ilvl w:val="0"/>
                <w:numId w:val="5"/>
              </w:numPr>
              <w:tabs>
                <w:tab w:val="clear" w:pos="360"/>
                <w:tab w:val="num" w:pos="420"/>
              </w:tabs>
              <w:spacing w:after="0" w:line="240" w:lineRule="auto"/>
              <w:ind w:left="420"/>
            </w:pPr>
            <w:r>
              <w:t xml:space="preserve">Επανέναρξη συνομιλιών για τη δημιουργία ασφαλούς διόδου </w:t>
            </w:r>
            <w:proofErr w:type="spellStart"/>
            <w:r>
              <w:t>Δυτ</w:t>
            </w:r>
            <w:proofErr w:type="spellEnd"/>
            <w:r>
              <w:t>. Όχθης-Γάζας</w:t>
            </w:r>
          </w:p>
          <w:p w:rsidR="004C5EFF" w:rsidRDefault="004C5EFF" w:rsidP="004C5EFF">
            <w:pPr>
              <w:numPr>
                <w:ilvl w:val="0"/>
                <w:numId w:val="5"/>
              </w:numPr>
              <w:tabs>
                <w:tab w:val="clear" w:pos="360"/>
                <w:tab w:val="num" w:pos="420"/>
              </w:tabs>
              <w:spacing w:after="0" w:line="240" w:lineRule="auto"/>
              <w:ind w:left="420"/>
            </w:pPr>
            <w:r>
              <w:t xml:space="preserve">Επαναδραστηριοποίηση της </w:t>
            </w:r>
            <w:proofErr w:type="spellStart"/>
            <w:r>
              <w:t>Αd</w:t>
            </w:r>
            <w:proofErr w:type="spellEnd"/>
            <w:r>
              <w:t>-Hoc επιτροπής εξέτασης διμερών οικονομικών ζητημάτων</w:t>
            </w:r>
          </w:p>
          <w:p w:rsidR="004C5EFF" w:rsidRDefault="004C5EFF" w:rsidP="004C5EFF">
            <w:pPr>
              <w:numPr>
                <w:ilvl w:val="0"/>
                <w:numId w:val="5"/>
              </w:numPr>
              <w:tabs>
                <w:tab w:val="clear" w:pos="360"/>
                <w:tab w:val="num" w:pos="420"/>
              </w:tabs>
              <w:spacing w:after="0" w:line="240" w:lineRule="auto"/>
              <w:ind w:left="420"/>
            </w:pPr>
            <w:r>
              <w:t xml:space="preserve">Επανέναρξη συνομιλιών για το άνοιγμα του Λιμένος της Γάζας, για τους εκτοπισμένους και για ρυθμίσεις στη </w:t>
            </w:r>
            <w:proofErr w:type="spellStart"/>
            <w:r>
              <w:t>Χεβρώνα</w:t>
            </w:r>
            <w:proofErr w:type="spellEnd"/>
          </w:p>
          <w:p w:rsidR="004C5EFF" w:rsidRDefault="004C5EFF" w:rsidP="004C5EFF">
            <w:pPr>
              <w:numPr>
                <w:ilvl w:val="0"/>
                <w:numId w:val="5"/>
              </w:numPr>
              <w:tabs>
                <w:tab w:val="clear" w:pos="360"/>
                <w:tab w:val="num" w:pos="420"/>
              </w:tabs>
              <w:spacing w:after="0" w:line="240" w:lineRule="auto"/>
              <w:ind w:left="420"/>
            </w:pPr>
            <w:r>
              <w:t>Επαναδραστηριοποίηση της επιτροπής για τον καθορισμό της β΄ αναδίπλωσης</w:t>
            </w:r>
          </w:p>
        </w:tc>
      </w:tr>
    </w:tbl>
    <w:p w:rsidR="004C5EFF" w:rsidRDefault="004C5EFF" w:rsidP="004C5EFF">
      <w:pPr>
        <w:spacing w:line="360" w:lineRule="auto"/>
        <w:jc w:val="both"/>
      </w:pPr>
    </w:p>
    <w:p w:rsidR="004C5EFF" w:rsidRDefault="004C5EFF" w:rsidP="004C5EFF">
      <w:pPr>
        <w:pStyle w:val="BodyText"/>
        <w:spacing w:line="360" w:lineRule="auto"/>
      </w:pPr>
      <w:r>
        <w:t xml:space="preserve">Γίνεται από τον παραπάνω πίνακα σαφές ότι η ενδιάμεση περίοδος είχε σκοπό να δημιουργήσει μια νέα πραγματικότητα στις σχέσεις των πλευρών που ξεπερνά κατά πολύ τα μέτρα οικοδόμησης εμπιστοσύνης. Τα νέα δεδομένα που θα δημιουργούνταν από την υλοποίηση των παραπάνω ενδιάμεσων συμφωνιών στον οικονομικό, κοινωνικό, διοικητικό τομέα αλλά και στον τομέα της ασφάλειας, θα αποτελούσαν την στέρεα βάση για την συμφωνία στα τέσσερα βασικά ζητήματα Τελικού καθεστώτος. </w:t>
      </w:r>
    </w:p>
    <w:p w:rsidR="004C5EFF" w:rsidRDefault="004C5EFF" w:rsidP="004C5EFF">
      <w:pPr>
        <w:spacing w:line="360" w:lineRule="auto"/>
        <w:jc w:val="both"/>
      </w:pPr>
      <w:r>
        <w:tab/>
        <w:t>Μια σειρά από ενέργειες και παραλείψεις δεν επέτρεψαν την ευόδωση των αρχικών σκοπών και στόχων των ενδιάμεσων συμφωνιών. Οι βασικές από αυτές είναι:</w:t>
      </w:r>
    </w:p>
    <w:p w:rsidR="004C5EFF" w:rsidRDefault="004C5EFF" w:rsidP="004C5EFF">
      <w:pPr>
        <w:numPr>
          <w:ilvl w:val="0"/>
          <w:numId w:val="12"/>
        </w:numPr>
        <w:spacing w:after="0" w:line="360" w:lineRule="auto"/>
        <w:jc w:val="both"/>
      </w:pPr>
      <w:r>
        <w:t>Οι αναδιπλώσεις των Ισραηλινών δυνάμεων από τα Παλαιστινιακά Εδάφη δεν ολοκληρώθηκαν</w:t>
      </w:r>
    </w:p>
    <w:p w:rsidR="004C5EFF" w:rsidRDefault="004C5EFF" w:rsidP="004C5EFF">
      <w:pPr>
        <w:numPr>
          <w:ilvl w:val="0"/>
          <w:numId w:val="12"/>
        </w:numPr>
        <w:spacing w:after="0" w:line="360" w:lineRule="auto"/>
        <w:jc w:val="both"/>
      </w:pPr>
      <w:r>
        <w:t xml:space="preserve">Αμείωτη οικοδόμηση νέων ισραηλινών εποικισμών κυρίως στη </w:t>
      </w:r>
      <w:proofErr w:type="spellStart"/>
      <w:r>
        <w:t>Δυτ</w:t>
      </w:r>
      <w:proofErr w:type="spellEnd"/>
      <w:r>
        <w:t>. Όχθη</w:t>
      </w:r>
    </w:p>
    <w:p w:rsidR="004C5EFF" w:rsidRDefault="004C5EFF" w:rsidP="004C5EFF">
      <w:pPr>
        <w:numPr>
          <w:ilvl w:val="0"/>
          <w:numId w:val="12"/>
        </w:numPr>
        <w:spacing w:after="0" w:line="360" w:lineRule="auto"/>
        <w:jc w:val="both"/>
      </w:pPr>
      <w:r>
        <w:t>Εξευτελιστικές και χρονοβόρες διαδικασίες ελέγχου των Παλαιστινίων από τις Ισραηλινές αρχές σε συνδυασμό με πολιτικές συλλογικής τιμωρίας (αποκλεισμοί των παλαιστινιακών περιοχών)</w:t>
      </w:r>
    </w:p>
    <w:p w:rsidR="004C5EFF" w:rsidRDefault="004C5EFF" w:rsidP="004C5EFF">
      <w:pPr>
        <w:numPr>
          <w:ilvl w:val="0"/>
          <w:numId w:val="12"/>
        </w:numPr>
        <w:spacing w:after="0" w:line="360" w:lineRule="auto"/>
        <w:jc w:val="both"/>
      </w:pPr>
      <w:r>
        <w:t>Μη αφοπλισμός των παραστρατιωτικών ομάδων από την Παλαιστινιακή Αρχή</w:t>
      </w:r>
    </w:p>
    <w:p w:rsidR="004C5EFF" w:rsidRDefault="004C5EFF" w:rsidP="004C5EFF">
      <w:pPr>
        <w:numPr>
          <w:ilvl w:val="0"/>
          <w:numId w:val="12"/>
        </w:numPr>
        <w:spacing w:after="0" w:line="360" w:lineRule="auto"/>
        <w:jc w:val="both"/>
      </w:pPr>
      <w:r>
        <w:lastRenderedPageBreak/>
        <w:t>Διαφθορά και ανυπαρξία οποιασδήποτε βελτίωσης του βιοτικού επιπέδου των Παλαιστινίων σε συνδυασμό με την έλλειψη πραγματικών θεσμών δημοκρατίας</w:t>
      </w:r>
    </w:p>
    <w:p w:rsidR="0057149F" w:rsidRDefault="0057149F" w:rsidP="004C5EFF">
      <w:pPr>
        <w:numPr>
          <w:ilvl w:val="0"/>
          <w:numId w:val="12"/>
        </w:numPr>
        <w:spacing w:after="0" w:line="360" w:lineRule="auto"/>
        <w:jc w:val="both"/>
      </w:pPr>
      <w:r>
        <w:t>Ανυπαρξία/αναποτελεσματικότητα διεθνούς μηχανισμού ελέγχου υλοποίησης. Απροθυμία ΗΠΑ να επιβάλλουν την υλοποίηση.</w:t>
      </w:r>
    </w:p>
    <w:p w:rsidR="004C5EFF" w:rsidRDefault="004C5EFF" w:rsidP="004C5EFF">
      <w:pPr>
        <w:spacing w:line="360" w:lineRule="auto"/>
        <w:ind w:firstLine="360"/>
        <w:jc w:val="both"/>
      </w:pPr>
      <w:r>
        <w:t xml:space="preserve">Βασική επιδίωξη της κυβέρνησης </w:t>
      </w:r>
      <w:proofErr w:type="spellStart"/>
      <w:r>
        <w:t>Rabin</w:t>
      </w:r>
      <w:proofErr w:type="spellEnd"/>
      <w:r>
        <w:t xml:space="preserve"> όταν υπέγραφε τις αρχικές μεταβατικές συμφωνίες του 1993 και 1994 ήταν να επιτύχει σταδιακά τη συγκρότηση ενός πλειοψηφικού και κατά το δυνατόν συμπαγούς συνασπισμού που θα υποστήριζε έναν μελλοντικό συμβιβασμό αρμονικής συνύπαρξης με τους Παλαιστινίους. Η άποψη αυτή υποστηριζόταν και από το όραμα </w:t>
      </w:r>
      <w:proofErr w:type="spellStart"/>
      <w:r>
        <w:t>Peres</w:t>
      </w:r>
      <w:proofErr w:type="spellEnd"/>
      <w:r>
        <w:t xml:space="preserve"> για μια ανοικτή μεσανατολική οικονομία όπου αντικειμενικά το Ισραήλ θα έπαιζε το ρόλο της «ατμομηχανής». Από την άλλη πλευρά βασικός στόχος του </w:t>
      </w:r>
      <w:proofErr w:type="spellStart"/>
      <w:r>
        <w:t>Araf</w:t>
      </w:r>
      <w:r w:rsidR="0057149F">
        <w:t>at</w:t>
      </w:r>
      <w:proofErr w:type="spellEnd"/>
      <w:r w:rsidR="0057149F">
        <w:t xml:space="preserve"> ήταν να δημιουργηθεί ένα «</w:t>
      </w:r>
      <w:proofErr w:type="spellStart"/>
      <w:r w:rsidR="0057149F">
        <w:t>οιο</w:t>
      </w:r>
      <w:r>
        <w:t>νεί</w:t>
      </w:r>
      <w:proofErr w:type="spellEnd"/>
      <w:r>
        <w:t>» κράτος που θα ενσωμάτωνε τις διαφορετικές συνιστώσες της παλαιστινιακής κοινωνίας και ηγεσίας και θα αποτελούσε το πρώτο βασικό στάδιο για τη δημιουργία ανεξάρτητου Παλαιστινιακού κράτους.</w:t>
      </w:r>
    </w:p>
    <w:p w:rsidR="004C5EFF" w:rsidRDefault="004C5EFF" w:rsidP="004C5EFF">
      <w:pPr>
        <w:spacing w:line="360" w:lineRule="auto"/>
        <w:ind w:firstLine="360"/>
        <w:jc w:val="both"/>
      </w:pPr>
      <w:r>
        <w:t xml:space="preserve">Τελικά η επιλογή μια μακράς πενταετούς περιόδου ήταν μάλλον αντιπαραγωγική για την ευόδωση των παραπάνω στόχων. Στο Ισραήλ επέτρεψε στο αριθμητικά μικρό, αλλά κατά πολύ συμπαγέστερο του ειρηνιστικού, </w:t>
      </w:r>
      <w:r>
        <w:rPr>
          <w:lang w:val="fr-FR"/>
        </w:rPr>
        <w:t>lobby</w:t>
      </w:r>
      <w:r>
        <w:t xml:space="preserve"> των εποίκων να χρησιμοποιήσει τις βουλευτικές εκλογές για να «εκβιάσουν» μια πολιτική ανάσχεσης της ειρηνευτικής διαδικασίας. Έδωσε επίσης τη δυνατότητα σε πολιτικές δυνάμεις όπως οι </w:t>
      </w:r>
      <w:proofErr w:type="spellStart"/>
      <w:r>
        <w:t>υπερ</w:t>
      </w:r>
      <w:proofErr w:type="spellEnd"/>
      <w:r>
        <w:t xml:space="preserve">-ορθόδοξοι του </w:t>
      </w:r>
      <w:r>
        <w:rPr>
          <w:lang w:val="fr-FR"/>
        </w:rPr>
        <w:t>Sh</w:t>
      </w:r>
      <w:r>
        <w:rPr>
          <w:lang w:val="en-US"/>
        </w:rPr>
        <w:t>as</w:t>
      </w:r>
      <w:r>
        <w:t xml:space="preserve"> και τα κόμματα των </w:t>
      </w:r>
      <w:proofErr w:type="spellStart"/>
      <w:r>
        <w:t>Ρωσο</w:t>
      </w:r>
      <w:proofErr w:type="spellEnd"/>
      <w:r>
        <w:t xml:space="preserve">-Εβραίων να συνδέσουν την υποστήριξή τους στην ειρηνευτική διαδικασία με ζητήματα εσωτερικής και κυρίως επιδοματικής πολιτικής. Τέλος η μη σύμπηξη ενός αποτελεσματικού συνασπισμού για την ειρήνη και την περιφερειακή ανάπτυξη οδήγησε μοιραία στην ανάδυση των παλαιών αντανακλαστικών της στρατιωτικής και πολιτικής ιεραρχίας σύμφωνα με τα οποία και η παραμικρή λεπτομέρεια ασφάλειας υπερέχει και του πιο σημαντικού βήματος συνύπαρξης. </w:t>
      </w:r>
    </w:p>
    <w:p w:rsidR="004C5EFF" w:rsidRDefault="004C5EFF" w:rsidP="004C5EFF">
      <w:pPr>
        <w:spacing w:line="360" w:lineRule="auto"/>
        <w:ind w:firstLine="360"/>
        <w:jc w:val="both"/>
      </w:pPr>
      <w:r>
        <w:t xml:space="preserve">Η παλαιστινιακή ηγεσία από την άλλη πλευρά προσπαθούσε να καλύψει το έλλειμμα δημοκρατικών θεσμών και κοινωνικής και οικονομικής ανάπτυξης της παλαιστινιακής κοινωνίας με την κατά κόρον χρήση μιας διγλωσσίας (μετριοπαθής προς τρίτους, εμπρηστική προς το εσωτερικό) η οποία απέκρυπτε και τελικά απέτρεψε τον όποιο συμβιβασμό θα </w:t>
      </w:r>
      <w:proofErr w:type="spellStart"/>
      <w:r>
        <w:t>ε</w:t>
      </w:r>
      <w:bookmarkStart w:id="0" w:name="_GoBack"/>
      <w:bookmarkEnd w:id="0"/>
      <w:r>
        <w:t>καλείτο</w:t>
      </w:r>
      <w:proofErr w:type="spellEnd"/>
      <w:r>
        <w:t xml:space="preserve"> να πραγματοποιήσει η παλαιστινιακή ηγεσία στις διαπραγματεύσεις τελικού καθεστώτος.</w:t>
      </w:r>
    </w:p>
    <w:p w:rsidR="004C5EFF" w:rsidRPr="00667BA9" w:rsidRDefault="004C5EFF"/>
    <w:sectPr w:rsidR="004C5EFF" w:rsidRPr="00667BA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622" w:rsidRDefault="00985622" w:rsidP="004C5EFF">
      <w:pPr>
        <w:spacing w:after="0" w:line="240" w:lineRule="auto"/>
      </w:pPr>
      <w:r>
        <w:separator/>
      </w:r>
    </w:p>
  </w:endnote>
  <w:endnote w:type="continuationSeparator" w:id="0">
    <w:p w:rsidR="00985622" w:rsidRDefault="00985622" w:rsidP="004C5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EFF" w:rsidRPr="004C5EFF" w:rsidRDefault="004C5EFF" w:rsidP="004C5EFF">
    <w:pPr>
      <w:pStyle w:val="Footer"/>
      <w:jc w:val="center"/>
      <w:rPr>
        <w:rFonts w:ascii="Times New Roman" w:hAnsi="Times New Roman" w:cs="Times New Roman"/>
        <w:sz w:val="24"/>
        <w:szCs w:val="24"/>
      </w:rPr>
    </w:pPr>
    <w:r w:rsidRPr="004C5EFF">
      <w:rPr>
        <w:rFonts w:ascii="Times New Roman" w:hAnsi="Times New Roman" w:cs="Times New Roman"/>
        <w:sz w:val="24"/>
        <w:szCs w:val="24"/>
      </w:rPr>
      <w:t>Απαγορεύεται  η με οποιονδήποτε τρόπο δημοσίευση ή δημόσια κοινοποίηση του κειμένου</w:t>
    </w:r>
  </w:p>
  <w:p w:rsidR="004C5EFF" w:rsidRDefault="004C5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622" w:rsidRDefault="00985622" w:rsidP="004C5EFF">
      <w:pPr>
        <w:spacing w:after="0" w:line="240" w:lineRule="auto"/>
      </w:pPr>
      <w:r>
        <w:separator/>
      </w:r>
    </w:p>
  </w:footnote>
  <w:footnote w:type="continuationSeparator" w:id="0">
    <w:p w:rsidR="00985622" w:rsidRDefault="00985622" w:rsidP="004C5E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6A5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C6102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0E7F3C"/>
    <w:multiLevelType w:val="hybridMultilevel"/>
    <w:tmpl w:val="E6DAE9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8430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23A6BB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D17400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D5A46B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FA0509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1362F2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45134C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71D202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74A2FFA"/>
    <w:multiLevelType w:val="singleLevel"/>
    <w:tmpl w:val="0C09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6"/>
  </w:num>
  <w:num w:numId="3">
    <w:abstractNumId w:val="7"/>
  </w:num>
  <w:num w:numId="4">
    <w:abstractNumId w:val="3"/>
  </w:num>
  <w:num w:numId="5">
    <w:abstractNumId w:val="9"/>
  </w:num>
  <w:num w:numId="6">
    <w:abstractNumId w:val="0"/>
  </w:num>
  <w:num w:numId="7">
    <w:abstractNumId w:val="5"/>
  </w:num>
  <w:num w:numId="8">
    <w:abstractNumId w:val="10"/>
  </w:num>
  <w:num w:numId="9">
    <w:abstractNumId w:val="4"/>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A9"/>
    <w:rsid w:val="000000EE"/>
    <w:rsid w:val="00003BCD"/>
    <w:rsid w:val="00007854"/>
    <w:rsid w:val="00010687"/>
    <w:rsid w:val="00011180"/>
    <w:rsid w:val="00027CFA"/>
    <w:rsid w:val="00041D8B"/>
    <w:rsid w:val="00044A88"/>
    <w:rsid w:val="00055EE5"/>
    <w:rsid w:val="00063CE5"/>
    <w:rsid w:val="0006493E"/>
    <w:rsid w:val="00067138"/>
    <w:rsid w:val="0007039D"/>
    <w:rsid w:val="0007086E"/>
    <w:rsid w:val="00072985"/>
    <w:rsid w:val="0007318A"/>
    <w:rsid w:val="00085A80"/>
    <w:rsid w:val="000A7821"/>
    <w:rsid w:val="000B2F11"/>
    <w:rsid w:val="000C1817"/>
    <w:rsid w:val="000C67E0"/>
    <w:rsid w:val="000D001A"/>
    <w:rsid w:val="000D238D"/>
    <w:rsid w:val="000D7485"/>
    <w:rsid w:val="000F07AD"/>
    <w:rsid w:val="000F3A7F"/>
    <w:rsid w:val="000F5CB3"/>
    <w:rsid w:val="001015B4"/>
    <w:rsid w:val="00106DEE"/>
    <w:rsid w:val="00122C88"/>
    <w:rsid w:val="001276F7"/>
    <w:rsid w:val="001312D0"/>
    <w:rsid w:val="0013627F"/>
    <w:rsid w:val="0013747B"/>
    <w:rsid w:val="00137646"/>
    <w:rsid w:val="001433DB"/>
    <w:rsid w:val="001447ED"/>
    <w:rsid w:val="00152FEE"/>
    <w:rsid w:val="001604D0"/>
    <w:rsid w:val="0016116C"/>
    <w:rsid w:val="001719CB"/>
    <w:rsid w:val="00172E05"/>
    <w:rsid w:val="00177619"/>
    <w:rsid w:val="001831BD"/>
    <w:rsid w:val="00185B87"/>
    <w:rsid w:val="00197EB6"/>
    <w:rsid w:val="001A1979"/>
    <w:rsid w:val="001C5983"/>
    <w:rsid w:val="001C5A71"/>
    <w:rsid w:val="001C6079"/>
    <w:rsid w:val="001D43F7"/>
    <w:rsid w:val="001D566F"/>
    <w:rsid w:val="001D64BD"/>
    <w:rsid w:val="001E1A88"/>
    <w:rsid w:val="001E2695"/>
    <w:rsid w:val="001F46F1"/>
    <w:rsid w:val="0020643B"/>
    <w:rsid w:val="00225F62"/>
    <w:rsid w:val="002338F5"/>
    <w:rsid w:val="00235708"/>
    <w:rsid w:val="00242EBB"/>
    <w:rsid w:val="00242F9A"/>
    <w:rsid w:val="00244E59"/>
    <w:rsid w:val="00246ED1"/>
    <w:rsid w:val="00247CFD"/>
    <w:rsid w:val="00255727"/>
    <w:rsid w:val="00255985"/>
    <w:rsid w:val="002618B2"/>
    <w:rsid w:val="002633DF"/>
    <w:rsid w:val="00266900"/>
    <w:rsid w:val="00272558"/>
    <w:rsid w:val="00274DB4"/>
    <w:rsid w:val="00297F5A"/>
    <w:rsid w:val="002A7083"/>
    <w:rsid w:val="002B2701"/>
    <w:rsid w:val="002B71C5"/>
    <w:rsid w:val="002C32BE"/>
    <w:rsid w:val="002D3C43"/>
    <w:rsid w:val="002D7CA5"/>
    <w:rsid w:val="00313573"/>
    <w:rsid w:val="003169DC"/>
    <w:rsid w:val="00322866"/>
    <w:rsid w:val="003276F0"/>
    <w:rsid w:val="00332B37"/>
    <w:rsid w:val="0033317B"/>
    <w:rsid w:val="00340D34"/>
    <w:rsid w:val="00350A0A"/>
    <w:rsid w:val="00354462"/>
    <w:rsid w:val="00361D0F"/>
    <w:rsid w:val="00387005"/>
    <w:rsid w:val="00391387"/>
    <w:rsid w:val="003A3D97"/>
    <w:rsid w:val="003A4312"/>
    <w:rsid w:val="003A6754"/>
    <w:rsid w:val="003B7FE9"/>
    <w:rsid w:val="003E086A"/>
    <w:rsid w:val="00407E8F"/>
    <w:rsid w:val="004125C5"/>
    <w:rsid w:val="00427FF7"/>
    <w:rsid w:val="00430F5E"/>
    <w:rsid w:val="00436936"/>
    <w:rsid w:val="00443CAA"/>
    <w:rsid w:val="004445AD"/>
    <w:rsid w:val="00447FA8"/>
    <w:rsid w:val="00450E72"/>
    <w:rsid w:val="00464595"/>
    <w:rsid w:val="00464762"/>
    <w:rsid w:val="00466D3A"/>
    <w:rsid w:val="00480FD3"/>
    <w:rsid w:val="004819AC"/>
    <w:rsid w:val="00484FBB"/>
    <w:rsid w:val="00485145"/>
    <w:rsid w:val="004905EC"/>
    <w:rsid w:val="00495D64"/>
    <w:rsid w:val="004A61FE"/>
    <w:rsid w:val="004B1E6F"/>
    <w:rsid w:val="004B329D"/>
    <w:rsid w:val="004C5EFF"/>
    <w:rsid w:val="004D15A4"/>
    <w:rsid w:val="004D1B49"/>
    <w:rsid w:val="004D5834"/>
    <w:rsid w:val="004F45F5"/>
    <w:rsid w:val="005106BF"/>
    <w:rsid w:val="005111BA"/>
    <w:rsid w:val="005467D7"/>
    <w:rsid w:val="005523F4"/>
    <w:rsid w:val="005547B5"/>
    <w:rsid w:val="00564FD9"/>
    <w:rsid w:val="00565DB5"/>
    <w:rsid w:val="005664FD"/>
    <w:rsid w:val="0057149F"/>
    <w:rsid w:val="0058160A"/>
    <w:rsid w:val="00595A30"/>
    <w:rsid w:val="005A017A"/>
    <w:rsid w:val="005B4446"/>
    <w:rsid w:val="005C384A"/>
    <w:rsid w:val="005C7087"/>
    <w:rsid w:val="005D29DB"/>
    <w:rsid w:val="005D334F"/>
    <w:rsid w:val="005E2BC8"/>
    <w:rsid w:val="005E697E"/>
    <w:rsid w:val="005F00D7"/>
    <w:rsid w:val="005F1C53"/>
    <w:rsid w:val="00601180"/>
    <w:rsid w:val="0061277E"/>
    <w:rsid w:val="00613AB8"/>
    <w:rsid w:val="00616992"/>
    <w:rsid w:val="00621241"/>
    <w:rsid w:val="006220AD"/>
    <w:rsid w:val="00623B20"/>
    <w:rsid w:val="00625617"/>
    <w:rsid w:val="006338AB"/>
    <w:rsid w:val="00641AC1"/>
    <w:rsid w:val="00644292"/>
    <w:rsid w:val="00644D60"/>
    <w:rsid w:val="006451DF"/>
    <w:rsid w:val="006468BF"/>
    <w:rsid w:val="006472EC"/>
    <w:rsid w:val="00653933"/>
    <w:rsid w:val="00654D2E"/>
    <w:rsid w:val="0065619D"/>
    <w:rsid w:val="00661C4D"/>
    <w:rsid w:val="006657D8"/>
    <w:rsid w:val="00667BA9"/>
    <w:rsid w:val="00670193"/>
    <w:rsid w:val="006739B3"/>
    <w:rsid w:val="00677033"/>
    <w:rsid w:val="00684F68"/>
    <w:rsid w:val="00693A8A"/>
    <w:rsid w:val="00695B75"/>
    <w:rsid w:val="006B078F"/>
    <w:rsid w:val="006B6CB1"/>
    <w:rsid w:val="006D02D7"/>
    <w:rsid w:val="006D7390"/>
    <w:rsid w:val="006E7A12"/>
    <w:rsid w:val="006F1DC8"/>
    <w:rsid w:val="006F1ED9"/>
    <w:rsid w:val="006F613A"/>
    <w:rsid w:val="006F6BCB"/>
    <w:rsid w:val="00704E85"/>
    <w:rsid w:val="00705948"/>
    <w:rsid w:val="00707185"/>
    <w:rsid w:val="00714DB5"/>
    <w:rsid w:val="007227F8"/>
    <w:rsid w:val="0073549F"/>
    <w:rsid w:val="00746A77"/>
    <w:rsid w:val="00746C05"/>
    <w:rsid w:val="007574B6"/>
    <w:rsid w:val="007602D4"/>
    <w:rsid w:val="0076145E"/>
    <w:rsid w:val="007630EF"/>
    <w:rsid w:val="00784871"/>
    <w:rsid w:val="00786D40"/>
    <w:rsid w:val="0078766D"/>
    <w:rsid w:val="00793BE8"/>
    <w:rsid w:val="007B0010"/>
    <w:rsid w:val="007B3234"/>
    <w:rsid w:val="007B4909"/>
    <w:rsid w:val="007B60B0"/>
    <w:rsid w:val="007B7B31"/>
    <w:rsid w:val="007C5AD0"/>
    <w:rsid w:val="007D363C"/>
    <w:rsid w:val="007D7E5F"/>
    <w:rsid w:val="007F6743"/>
    <w:rsid w:val="008030B1"/>
    <w:rsid w:val="00803451"/>
    <w:rsid w:val="00823B19"/>
    <w:rsid w:val="00827E77"/>
    <w:rsid w:val="008303CE"/>
    <w:rsid w:val="00840CC5"/>
    <w:rsid w:val="0084198B"/>
    <w:rsid w:val="00845879"/>
    <w:rsid w:val="00857C90"/>
    <w:rsid w:val="008608D4"/>
    <w:rsid w:val="00860DC5"/>
    <w:rsid w:val="0087109E"/>
    <w:rsid w:val="00885194"/>
    <w:rsid w:val="00893B65"/>
    <w:rsid w:val="008A0E8E"/>
    <w:rsid w:val="008A46CC"/>
    <w:rsid w:val="008A541F"/>
    <w:rsid w:val="008A63CD"/>
    <w:rsid w:val="008B42D1"/>
    <w:rsid w:val="008B4C01"/>
    <w:rsid w:val="008C31AE"/>
    <w:rsid w:val="008D1443"/>
    <w:rsid w:val="008D44DE"/>
    <w:rsid w:val="008E541A"/>
    <w:rsid w:val="00910D21"/>
    <w:rsid w:val="00927438"/>
    <w:rsid w:val="00934F27"/>
    <w:rsid w:val="00937A79"/>
    <w:rsid w:val="00941F4F"/>
    <w:rsid w:val="009576F8"/>
    <w:rsid w:val="00960E3B"/>
    <w:rsid w:val="00964549"/>
    <w:rsid w:val="0097304E"/>
    <w:rsid w:val="0097368B"/>
    <w:rsid w:val="009833ED"/>
    <w:rsid w:val="00985622"/>
    <w:rsid w:val="00992AB9"/>
    <w:rsid w:val="009A0612"/>
    <w:rsid w:val="009A4C89"/>
    <w:rsid w:val="009A4FFB"/>
    <w:rsid w:val="009B2B84"/>
    <w:rsid w:val="009B2F2E"/>
    <w:rsid w:val="009C119E"/>
    <w:rsid w:val="009E171F"/>
    <w:rsid w:val="009F6D7B"/>
    <w:rsid w:val="00A04192"/>
    <w:rsid w:val="00A21E6A"/>
    <w:rsid w:val="00A2287B"/>
    <w:rsid w:val="00A41CB1"/>
    <w:rsid w:val="00A4605B"/>
    <w:rsid w:val="00A62629"/>
    <w:rsid w:val="00A71296"/>
    <w:rsid w:val="00A733C1"/>
    <w:rsid w:val="00A73E8C"/>
    <w:rsid w:val="00A9044B"/>
    <w:rsid w:val="00A92B2C"/>
    <w:rsid w:val="00A93AD5"/>
    <w:rsid w:val="00A94D02"/>
    <w:rsid w:val="00AA335E"/>
    <w:rsid w:val="00AB2FC3"/>
    <w:rsid w:val="00AD080F"/>
    <w:rsid w:val="00AE4C08"/>
    <w:rsid w:val="00AE6D2B"/>
    <w:rsid w:val="00AF2E55"/>
    <w:rsid w:val="00B04088"/>
    <w:rsid w:val="00B0626F"/>
    <w:rsid w:val="00B07E2D"/>
    <w:rsid w:val="00B10C90"/>
    <w:rsid w:val="00B13418"/>
    <w:rsid w:val="00B14A47"/>
    <w:rsid w:val="00B169B3"/>
    <w:rsid w:val="00B1789F"/>
    <w:rsid w:val="00B2319D"/>
    <w:rsid w:val="00B25F3C"/>
    <w:rsid w:val="00B475D8"/>
    <w:rsid w:val="00B638FC"/>
    <w:rsid w:val="00B76547"/>
    <w:rsid w:val="00B86A84"/>
    <w:rsid w:val="00B97D0F"/>
    <w:rsid w:val="00BB3CAF"/>
    <w:rsid w:val="00BB7B8B"/>
    <w:rsid w:val="00BC41D6"/>
    <w:rsid w:val="00BD19B5"/>
    <w:rsid w:val="00BD64B5"/>
    <w:rsid w:val="00BE0F9F"/>
    <w:rsid w:val="00BF6194"/>
    <w:rsid w:val="00C04DF6"/>
    <w:rsid w:val="00C06A78"/>
    <w:rsid w:val="00C23117"/>
    <w:rsid w:val="00C44CAF"/>
    <w:rsid w:val="00C46086"/>
    <w:rsid w:val="00C63D62"/>
    <w:rsid w:val="00C70455"/>
    <w:rsid w:val="00C70FD9"/>
    <w:rsid w:val="00C81AF4"/>
    <w:rsid w:val="00C85DE0"/>
    <w:rsid w:val="00C93875"/>
    <w:rsid w:val="00C96CD1"/>
    <w:rsid w:val="00CB2E16"/>
    <w:rsid w:val="00CB4FBE"/>
    <w:rsid w:val="00CB7AA2"/>
    <w:rsid w:val="00CC2402"/>
    <w:rsid w:val="00CD3F30"/>
    <w:rsid w:val="00CD7516"/>
    <w:rsid w:val="00CE38B1"/>
    <w:rsid w:val="00CE4FCB"/>
    <w:rsid w:val="00CE7D2A"/>
    <w:rsid w:val="00CF187F"/>
    <w:rsid w:val="00CF3C5C"/>
    <w:rsid w:val="00CF6766"/>
    <w:rsid w:val="00CF744E"/>
    <w:rsid w:val="00D0728F"/>
    <w:rsid w:val="00D10580"/>
    <w:rsid w:val="00D13ED0"/>
    <w:rsid w:val="00D5787F"/>
    <w:rsid w:val="00D60C13"/>
    <w:rsid w:val="00D673E3"/>
    <w:rsid w:val="00D72093"/>
    <w:rsid w:val="00D80024"/>
    <w:rsid w:val="00D83D16"/>
    <w:rsid w:val="00D85EF1"/>
    <w:rsid w:val="00D9160C"/>
    <w:rsid w:val="00D932F5"/>
    <w:rsid w:val="00D93458"/>
    <w:rsid w:val="00DA3441"/>
    <w:rsid w:val="00DA61E3"/>
    <w:rsid w:val="00DB435F"/>
    <w:rsid w:val="00DC3C07"/>
    <w:rsid w:val="00DC491E"/>
    <w:rsid w:val="00DC5B6F"/>
    <w:rsid w:val="00DC6AAE"/>
    <w:rsid w:val="00DC785E"/>
    <w:rsid w:val="00DD3393"/>
    <w:rsid w:val="00DE2B24"/>
    <w:rsid w:val="00DE3BEF"/>
    <w:rsid w:val="00E011D9"/>
    <w:rsid w:val="00E06289"/>
    <w:rsid w:val="00E07E04"/>
    <w:rsid w:val="00E11647"/>
    <w:rsid w:val="00E20FDB"/>
    <w:rsid w:val="00E225F1"/>
    <w:rsid w:val="00E22B07"/>
    <w:rsid w:val="00E3098A"/>
    <w:rsid w:val="00E31AE1"/>
    <w:rsid w:val="00E33DB6"/>
    <w:rsid w:val="00E37346"/>
    <w:rsid w:val="00E5381E"/>
    <w:rsid w:val="00E84685"/>
    <w:rsid w:val="00E91F0B"/>
    <w:rsid w:val="00EA13EC"/>
    <w:rsid w:val="00EA3EEF"/>
    <w:rsid w:val="00EB2291"/>
    <w:rsid w:val="00EB3D3F"/>
    <w:rsid w:val="00EB604B"/>
    <w:rsid w:val="00EC2AD9"/>
    <w:rsid w:val="00ED0922"/>
    <w:rsid w:val="00ED0DFF"/>
    <w:rsid w:val="00ED4CCF"/>
    <w:rsid w:val="00ED6296"/>
    <w:rsid w:val="00EF12A8"/>
    <w:rsid w:val="00EF6F64"/>
    <w:rsid w:val="00EF7A5C"/>
    <w:rsid w:val="00EF7E5A"/>
    <w:rsid w:val="00F01832"/>
    <w:rsid w:val="00F03E4F"/>
    <w:rsid w:val="00F134E5"/>
    <w:rsid w:val="00F156C4"/>
    <w:rsid w:val="00F232B5"/>
    <w:rsid w:val="00F23645"/>
    <w:rsid w:val="00F23D71"/>
    <w:rsid w:val="00F31135"/>
    <w:rsid w:val="00F3432F"/>
    <w:rsid w:val="00F42063"/>
    <w:rsid w:val="00F44E0B"/>
    <w:rsid w:val="00F51A52"/>
    <w:rsid w:val="00F66407"/>
    <w:rsid w:val="00F73557"/>
    <w:rsid w:val="00F83C48"/>
    <w:rsid w:val="00F90B70"/>
    <w:rsid w:val="00FA6A0C"/>
    <w:rsid w:val="00FC0231"/>
    <w:rsid w:val="00FC4E3E"/>
    <w:rsid w:val="00FC656C"/>
    <w:rsid w:val="00FC7739"/>
    <w:rsid w:val="00FD0E97"/>
    <w:rsid w:val="00FE66F9"/>
    <w:rsid w:val="00FF7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EBC8E-1986-42A8-BB58-CCF78D6E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7BA9"/>
    <w:pPr>
      <w:keepNext/>
      <w:spacing w:after="0" w:line="240" w:lineRule="auto"/>
      <w:jc w:val="both"/>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BA9"/>
    <w:rPr>
      <w:rFonts w:ascii="Times New Roman" w:eastAsia="Times New Roman" w:hAnsi="Times New Roman" w:cs="Times New Roman"/>
      <w:b/>
      <w:sz w:val="24"/>
      <w:szCs w:val="20"/>
    </w:rPr>
  </w:style>
  <w:style w:type="paragraph" w:styleId="BodyText2">
    <w:name w:val="Body Text 2"/>
    <w:basedOn w:val="Normal"/>
    <w:link w:val="BodyText2Char"/>
    <w:rsid w:val="00667BA9"/>
    <w:pPr>
      <w:spacing w:before="120"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67BA9"/>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4C5EFF"/>
    <w:pPr>
      <w:spacing w:after="120"/>
    </w:pPr>
  </w:style>
  <w:style w:type="character" w:customStyle="1" w:styleId="BodyTextChar">
    <w:name w:val="Body Text Char"/>
    <w:basedOn w:val="DefaultParagraphFont"/>
    <w:link w:val="BodyText"/>
    <w:uiPriority w:val="99"/>
    <w:semiHidden/>
    <w:rsid w:val="004C5EFF"/>
  </w:style>
  <w:style w:type="paragraph" w:styleId="Header">
    <w:name w:val="header"/>
    <w:basedOn w:val="Normal"/>
    <w:link w:val="HeaderChar"/>
    <w:uiPriority w:val="99"/>
    <w:unhideWhenUsed/>
    <w:rsid w:val="004C5E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5EFF"/>
  </w:style>
  <w:style w:type="paragraph" w:styleId="Footer">
    <w:name w:val="footer"/>
    <w:basedOn w:val="Normal"/>
    <w:link w:val="FooterChar"/>
    <w:uiPriority w:val="99"/>
    <w:unhideWhenUsed/>
    <w:rsid w:val="004C5E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5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sroussos</dc:creator>
  <cp:keywords/>
  <dc:description/>
  <cp:lastModifiedBy>sroussos</cp:lastModifiedBy>
  <cp:revision>3</cp:revision>
  <dcterms:created xsi:type="dcterms:W3CDTF">2020-05-12T09:59:00Z</dcterms:created>
  <dcterms:modified xsi:type="dcterms:W3CDTF">2020-05-12T10:03:00Z</dcterms:modified>
</cp:coreProperties>
</file>