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7458"/>
        <w:gridCol w:w="613"/>
      </w:tblGrid>
      <w:tr w:rsidR="00895EAA" w:rsidRPr="00895EAA" w:rsidTr="000811F1">
        <w:tc>
          <w:tcPr>
            <w:tcW w:w="8522" w:type="dxa"/>
            <w:gridSpan w:val="3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ΑΤΟΜΙΚΑ ΚΑΙ ΚΟΙΝΩΝΙΚΑ ΔΙΚΑΙΩΜΑΤΑ</w:t>
            </w:r>
          </w:p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Φεβρουάριος 2019</w:t>
            </w:r>
          </w:p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ΟΝΟΜΑΤΕΠΩΝΥΜΟ</w:t>
            </w:r>
          </w:p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ΑΡ. ΜΗΤΡΩΟΥ</w:t>
            </w: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  <w:r w:rsidRPr="00895EAA">
              <w:rPr>
                <w:rFonts w:eastAsia="Calibri"/>
                <w:b/>
                <w:i/>
              </w:rPr>
              <w:t>1</w:t>
            </w: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  <w:r w:rsidRPr="00895EAA">
              <w:rPr>
                <w:rFonts w:eastAsia="Calibri"/>
                <w:b/>
                <w:i/>
              </w:rPr>
              <w:t>Η αρχή της ισότητας συνεπάγεται ότι κατά το Σύνταγμα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Όλοι οι έλληνες πολίτες είναι ίσοι έναντι του νόμου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Όλοι οι άνθρωποι που ευρίσκονται εντός της Ελλάδας είναι ίσοι έναντι του νόμου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Όλοι οι άνθρωποι δικαιούνται να έχουν τα ίδια εισοδήματα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  <w:r w:rsidRPr="00895EAA">
              <w:rPr>
                <w:rFonts w:eastAsia="Calibri"/>
                <w:b/>
                <w:i/>
              </w:rPr>
              <w:t>2</w:t>
            </w: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  <w:r w:rsidRPr="00895EAA">
              <w:rPr>
                <w:rFonts w:eastAsia="Calibri"/>
                <w:b/>
                <w:i/>
              </w:rPr>
              <w:t>Τα κοινωνικά δικαιώματα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Δημιουργούν υποχρεώσεις του Κράτους έναντι του πολίτη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Παράγουν αξιώσεις του πολίτη έναντι του Κράτους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Όλα τα παραπάνω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3</w:t>
            </w:r>
          </w:p>
        </w:tc>
        <w:tc>
          <w:tcPr>
            <w:tcW w:w="8096" w:type="dxa"/>
            <w:gridSpan w:val="2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  <w:r w:rsidRPr="00895EAA">
              <w:rPr>
                <w:rFonts w:eastAsia="Calibri"/>
                <w:b/>
                <w:i/>
              </w:rPr>
              <w:t>Νόμος απονέμει επίδομα στους υπαλλήλους του υπουργείου Α αλλά όχι του υπουργείου Β οι οποίοι βρίσκονται στην ίδια πραγματική κατάσταση με τους υπαλλήλους του υπουργείου Α. Ύστερα από προσφυγή των υπαλλήλων Β που επικαλούνται την αρχή της ισότητας, το Δικαστήριο</w:t>
            </w: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Μάλλον θα ακυρώσει   το επίδομα των υπαλλήλων Α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Μάλλον θα απονείμει το επίδομα και στους υπαλλήλους Β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Κανένα από τα παραπάνω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  <w:r w:rsidRPr="00895EAA">
              <w:rPr>
                <w:rFonts w:eastAsia="Calibri"/>
                <w:b/>
                <w:i/>
              </w:rPr>
              <w:t>4</w:t>
            </w: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  <w:r w:rsidRPr="00895EAA">
              <w:rPr>
                <w:rFonts w:eastAsia="Calibri"/>
                <w:b/>
                <w:i/>
              </w:rPr>
              <w:t>Η σεξουαλική ελευθερία κατοχυρώνεται μέσω του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Άρθρου 2 παρ. 1 του Συντάγματος (προστασία της αξίας του ανθρώπου)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άρθρου 5 του Συντάγματος (ελεύθερη ανάπτυξη της προσωπικότητας)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Άρθρου 4 του Συντάγματος (αρχή της ισότητας)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  <w:r w:rsidRPr="00895EAA">
              <w:rPr>
                <w:rFonts w:eastAsia="Calibri"/>
                <w:b/>
                <w:i/>
              </w:rPr>
              <w:t>5</w:t>
            </w:r>
          </w:p>
        </w:tc>
        <w:tc>
          <w:tcPr>
            <w:tcW w:w="7481" w:type="dxa"/>
          </w:tcPr>
          <w:p w:rsidR="00895EAA" w:rsidRPr="00895EAA" w:rsidRDefault="00895EAA" w:rsidP="00895EAA">
            <w:pPr>
              <w:tabs>
                <w:tab w:val="left" w:pos="5412"/>
              </w:tabs>
              <w:spacing w:before="0"/>
              <w:ind w:left="0" w:firstLine="0"/>
              <w:rPr>
                <w:rFonts w:eastAsia="Calibri"/>
                <w:b/>
                <w:i/>
              </w:rPr>
            </w:pPr>
            <w:r w:rsidRPr="00895EAA">
              <w:rPr>
                <w:rFonts w:eastAsia="Calibri"/>
                <w:b/>
                <w:i/>
              </w:rPr>
              <w:t>Βιβλίο   δυσφημεί και   υβρίζει την μουσουλμανική θρησκεία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Μπορώ με εισαγγελική παραγγελία να διατάξω την κατάσχεσή του αφού εκδοθεί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Μπορώ προληπτικά με εισαγγελική παραγγελία να απαγορεύσω την κυκλοφορία του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Όλα τα παραπάνω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  <w:r w:rsidRPr="00895EAA">
              <w:rPr>
                <w:rFonts w:eastAsia="Calibri"/>
                <w:b/>
                <w:i/>
              </w:rPr>
              <w:t>6</w:t>
            </w: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  <w:r w:rsidRPr="00895EAA">
              <w:rPr>
                <w:rFonts w:eastAsia="Calibri"/>
                <w:b/>
                <w:i/>
              </w:rPr>
              <w:t>Είμαι δημόσιος υπάλληλος στο Υπουργείο Παιδείας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Μπορώ να βάλω πάνω στο γραφείο μου στο Υπουργείο το έμβλημα του πολιτικού κόμματος που ψηφίζω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Μπορώ να συμμετέχω σε διαδήλωση υπέρ του κόμματος που ψηφίζω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Όλα τα παραπάνω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  <w:r w:rsidRPr="00895EAA">
              <w:rPr>
                <w:rFonts w:eastAsia="Calibri"/>
                <w:b/>
                <w:i/>
              </w:rPr>
              <w:t>7</w:t>
            </w:r>
          </w:p>
        </w:tc>
        <w:tc>
          <w:tcPr>
            <w:tcW w:w="8096" w:type="dxa"/>
            <w:gridSpan w:val="2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  <w:r w:rsidRPr="00895EAA">
              <w:rPr>
                <w:rFonts w:eastAsia="Calibri"/>
                <w:b/>
                <w:i/>
              </w:rPr>
              <w:t>Είμαι συνταξιούχος καθηγητής πανεπιστημίου με αντικείμενο «φιλοσοφία δικαίου» και θέλω να οργανώσω ένα κύκλο σεμιναρίων φιλοσοφίας δικαίου στο σπίτι μου έναντι καταβολής διδάκτρων από όσους θέλουν να παρακολουθήσουν το σεμινάριο</w:t>
            </w: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Επιτρέπεται να οργανώσω το σεμινάριο δυνάμει του άρθρου 16 παρ. 1 Σ.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Δεν μπορώ να οργανώσω το παραπάνω σεμινάριο διότι το απαγορεύει το άρθρο 16 παρ. 5 και παρ. 8  του Συντάγματος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Επιτρέπεται αλλά χωρίς δίδακτρα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  <w:r w:rsidRPr="00895EAA">
              <w:rPr>
                <w:rFonts w:eastAsia="Calibri"/>
                <w:b/>
                <w:i/>
              </w:rPr>
              <w:t>8</w:t>
            </w: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  <w:r w:rsidRPr="00895EAA">
              <w:rPr>
                <w:rFonts w:eastAsia="Calibri"/>
                <w:b/>
                <w:i/>
              </w:rPr>
              <w:t>Με βάση την υπάρχουσα νομολογία και το άρθρο 22 του Συντάγματος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Επιτρέπεται στο Κράτος να μειώνει εφεξής τις συντάξεις για λόγους δημοσίου συμφέροντος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Δεν επιτρέπεται μείωση συντάξεων διότι υφίσταται κοινωνικό κεκτημένο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Επιτρέπεται μόνο η αύξηση των κεκτημένων συντάξεων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  <w:r w:rsidRPr="00895EAA">
              <w:rPr>
                <w:rFonts w:eastAsia="Calibri"/>
                <w:b/>
                <w:i/>
              </w:rPr>
              <w:t>9</w:t>
            </w:r>
          </w:p>
        </w:tc>
        <w:tc>
          <w:tcPr>
            <w:tcW w:w="8096" w:type="dxa"/>
            <w:gridSpan w:val="2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  <w:r w:rsidRPr="00895EAA">
              <w:rPr>
                <w:rFonts w:eastAsia="Calibri"/>
                <w:b/>
                <w:i/>
              </w:rPr>
              <w:t>Είμαι τουρίστας, υπήκοος Βενεζουέλας, και κατά τη διάρκεια των διακοπών μου στην Ελλάδα αρρωσταίνω, αλλά δεν έχω χρήματα.  Με βάση το Σύνταγμα</w:t>
            </w: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Δικαιούμαι δωρεάν περίθαλψης και νοσηλείας στην Ελλάδα μέχρι να γίνω καλά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Δικαιούμαι δωρεάν εισιτήριο να επιστρέψω στην χώρα καταγωγής μου για να νοσηλευτώ.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Δεν δικαιούμαι δωρεάν περίθαλψης και νοσηλείας στην Ελλάδα.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  <w:r w:rsidRPr="00895EAA">
              <w:rPr>
                <w:rFonts w:eastAsia="Calibri"/>
                <w:b/>
                <w:i/>
              </w:rPr>
              <w:t>10</w:t>
            </w: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  <w:r w:rsidRPr="00895EAA">
              <w:rPr>
                <w:rFonts w:eastAsia="Calibri"/>
                <w:b/>
                <w:i/>
              </w:rPr>
              <w:t>Η ευνοϊκή μεταχείριση των εγγάμων εργαζομένων έναντι των αγάμων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  <w:b/>
                <w:i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Απαγορεύεται λόγω της αρχής της ισότητας (άρθρο 4 Σ.)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Επιτρέπεται λόγω του άρθρου 21 του Σ.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  <w:tr w:rsidR="00895EAA" w:rsidRPr="00895EAA" w:rsidTr="000811F1">
        <w:tc>
          <w:tcPr>
            <w:tcW w:w="426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  <w:tc>
          <w:tcPr>
            <w:tcW w:w="7481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  <w:r w:rsidRPr="00895EAA">
              <w:rPr>
                <w:rFonts w:eastAsia="Calibri"/>
              </w:rPr>
              <w:t>Δεν επιτρέπεται λόγω του άρθρου 5 του Σ.</w:t>
            </w:r>
          </w:p>
        </w:tc>
        <w:tc>
          <w:tcPr>
            <w:tcW w:w="615" w:type="dxa"/>
          </w:tcPr>
          <w:p w:rsidR="00895EAA" w:rsidRPr="00895EAA" w:rsidRDefault="00895EAA" w:rsidP="00895EAA">
            <w:pPr>
              <w:spacing w:before="0"/>
              <w:ind w:left="0" w:firstLine="0"/>
              <w:rPr>
                <w:rFonts w:eastAsia="Calibri"/>
              </w:rPr>
            </w:pPr>
          </w:p>
        </w:tc>
      </w:tr>
    </w:tbl>
    <w:p w:rsidR="00895EAA" w:rsidRPr="00895EAA" w:rsidRDefault="00895EAA" w:rsidP="00895EAA">
      <w:pPr>
        <w:ind w:left="0" w:firstLine="0"/>
        <w:rPr>
          <w:rFonts w:eastAsia="Calibri"/>
        </w:rPr>
      </w:pPr>
    </w:p>
    <w:p w:rsidR="000A5F0B" w:rsidRPr="000A5F0B" w:rsidRDefault="000A5F0B" w:rsidP="000A5F0B">
      <w:pPr>
        <w:ind w:left="0" w:firstLine="0"/>
      </w:pPr>
      <w:bookmarkStart w:id="0" w:name="_GoBack"/>
      <w:bookmarkEnd w:id="0"/>
    </w:p>
    <w:sectPr w:rsidR="000A5F0B" w:rsidRPr="000A5F0B" w:rsidSect="006043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24F" w:rsidRDefault="0043624F" w:rsidP="000A5F0B">
      <w:pPr>
        <w:spacing w:before="0"/>
      </w:pPr>
      <w:r>
        <w:separator/>
      </w:r>
    </w:p>
  </w:endnote>
  <w:endnote w:type="continuationSeparator" w:id="0">
    <w:p w:rsidR="0043624F" w:rsidRDefault="0043624F" w:rsidP="000A5F0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24F" w:rsidRDefault="0043624F" w:rsidP="000A5F0B">
      <w:pPr>
        <w:spacing w:before="0"/>
      </w:pPr>
      <w:r>
        <w:separator/>
      </w:r>
    </w:p>
  </w:footnote>
  <w:footnote w:type="continuationSeparator" w:id="0">
    <w:p w:rsidR="0043624F" w:rsidRDefault="0043624F" w:rsidP="000A5F0B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AA"/>
    <w:rsid w:val="000A5F0B"/>
    <w:rsid w:val="001C3E97"/>
    <w:rsid w:val="0036367F"/>
    <w:rsid w:val="003B35FB"/>
    <w:rsid w:val="003D0476"/>
    <w:rsid w:val="0043624F"/>
    <w:rsid w:val="00604338"/>
    <w:rsid w:val="006E7EA6"/>
    <w:rsid w:val="00706BFC"/>
    <w:rsid w:val="00895EAA"/>
    <w:rsid w:val="009E2B3D"/>
    <w:rsid w:val="009F0C7D"/>
    <w:rsid w:val="00A40ABA"/>
    <w:rsid w:val="00A72A57"/>
    <w:rsid w:val="00DF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AFDB3-1C86-45DE-98A6-4E56D527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="Times New Roman"/>
        <w:lang w:val="el-GR" w:eastAsia="en-US" w:bidi="ar-SA"/>
      </w:rPr>
    </w:rPrDefault>
    <w:pPrDefault>
      <w:pPr>
        <w:spacing w:before="240"/>
        <w:ind w:left="567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A5F0B"/>
    <w:pPr>
      <w:spacing w:before="0" w:line="276" w:lineRule="auto"/>
      <w:ind w:left="0"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5F0B"/>
  </w:style>
  <w:style w:type="character" w:styleId="FootnoteReference">
    <w:name w:val="footnote reference"/>
    <w:basedOn w:val="DefaultParagraphFont"/>
    <w:uiPriority w:val="99"/>
    <w:semiHidden/>
    <w:unhideWhenUsed/>
    <w:rsid w:val="000A5F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755C9-B4B6-4BD0-B0A0-DDCBF0D4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Xenophon Paparrigopoulos</dc:creator>
  <cp:keywords/>
  <dc:description/>
  <cp:lastModifiedBy>Xenophon Paparrigopoulos</cp:lastModifiedBy>
  <cp:revision>1</cp:revision>
  <dcterms:created xsi:type="dcterms:W3CDTF">2020-09-11T07:56:00Z</dcterms:created>
  <dcterms:modified xsi:type="dcterms:W3CDTF">2020-09-11T08:02:00Z</dcterms:modified>
</cp:coreProperties>
</file>