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B02" w:rsidRPr="00B06E87" w:rsidRDefault="00A21B02" w:rsidP="00A21B02">
      <w:pPr>
        <w:pStyle w:val="NormalWeb"/>
        <w:spacing w:before="200" w:beforeAutospacing="0" w:after="0" w:afterAutospacing="0" w:line="216" w:lineRule="auto"/>
        <w:jc w:val="both"/>
        <w:rPr>
          <w:sz w:val="16"/>
          <w:lang w:val="el-GR"/>
        </w:rPr>
      </w:pPr>
      <w:r w:rsidRPr="00B06E87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56"/>
          <w:lang w:val="el-GR"/>
        </w:rPr>
        <w:t>Θέμα</w:t>
      </w:r>
      <w:r w:rsidR="005E777B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56"/>
          <w:lang w:val="el-GR"/>
        </w:rPr>
        <w:t xml:space="preserve"> 3</w:t>
      </w:r>
      <w:r w:rsidRPr="00B06E87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56"/>
          <w:lang w:val="el-GR"/>
        </w:rPr>
        <w:t xml:space="preserve">. </w:t>
      </w:r>
      <w:r w:rsidR="006A72A8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56"/>
          <w:lang w:val="el-GR"/>
        </w:rPr>
        <w:t>Η φτώχεια</w:t>
      </w:r>
      <w:r w:rsidR="00BE5AAE" w:rsidRPr="00BE5AAE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56"/>
          <w:lang w:val="el-GR"/>
        </w:rPr>
        <w:t xml:space="preserve"> </w:t>
      </w:r>
      <w:r w:rsidR="00BE5AAE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56"/>
          <w:lang w:val="el-GR"/>
        </w:rPr>
        <w:t>των ηλικιωμένων</w:t>
      </w:r>
      <w:r w:rsidR="006A72A8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56"/>
          <w:lang w:val="el-GR"/>
        </w:rPr>
        <w:t xml:space="preserve"> στην Ελλάδα</w:t>
      </w:r>
      <w:r w:rsidRPr="00B06E87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56"/>
          <w:lang w:val="el-GR"/>
        </w:rPr>
        <w:t>.</w:t>
      </w:r>
    </w:p>
    <w:p w:rsidR="00A21B02" w:rsidRDefault="00A21B02" w:rsidP="00A21B02">
      <w:pPr>
        <w:pStyle w:val="PlainText"/>
        <w:jc w:val="both"/>
        <w:rPr>
          <w:lang w:val="el-GR"/>
        </w:rPr>
      </w:pPr>
    </w:p>
    <w:p w:rsidR="00A21B02" w:rsidRDefault="00A21B02" w:rsidP="00A21B02">
      <w:pPr>
        <w:pStyle w:val="PlainText"/>
        <w:jc w:val="both"/>
        <w:rPr>
          <w:b/>
          <w:lang w:val="el-GR"/>
        </w:rPr>
      </w:pPr>
    </w:p>
    <w:p w:rsidR="00A21B02" w:rsidRDefault="00A21B02" w:rsidP="00A21B02">
      <w:pPr>
        <w:pStyle w:val="PlainText"/>
        <w:jc w:val="both"/>
        <w:rPr>
          <w:b/>
          <w:lang w:val="el-GR"/>
        </w:rPr>
      </w:pPr>
    </w:p>
    <w:p w:rsidR="00A21B02" w:rsidRDefault="00A21B02" w:rsidP="00A21B02">
      <w:pPr>
        <w:pStyle w:val="PlainText"/>
        <w:jc w:val="both"/>
        <w:rPr>
          <w:b/>
          <w:lang w:val="el-GR"/>
        </w:rPr>
      </w:pPr>
    </w:p>
    <w:p w:rsidR="00A21B02" w:rsidRDefault="00A21B02" w:rsidP="00AE7B24">
      <w:pPr>
        <w:pStyle w:val="PlainText"/>
        <w:spacing w:after="120" w:line="360" w:lineRule="auto"/>
        <w:jc w:val="both"/>
        <w:rPr>
          <w:b/>
          <w:lang w:val="el-GR"/>
        </w:rPr>
      </w:pPr>
      <w:r w:rsidRPr="00A21B02">
        <w:rPr>
          <w:b/>
          <w:lang w:val="el-GR"/>
        </w:rPr>
        <w:t>Σύντομες Οδηγίες:</w:t>
      </w:r>
    </w:p>
    <w:p w:rsidR="006A72A8" w:rsidRPr="00975052" w:rsidRDefault="00824E2F" w:rsidP="00AE7B24">
      <w:pPr>
        <w:pStyle w:val="PlainText"/>
        <w:spacing w:after="120" w:line="360" w:lineRule="auto"/>
        <w:jc w:val="both"/>
        <w:rPr>
          <w:lang w:val="el-GR"/>
        </w:rPr>
      </w:pPr>
      <w:r>
        <w:rPr>
          <w:lang w:val="el-GR"/>
        </w:rPr>
        <w:t>Η</w:t>
      </w:r>
      <w:r w:rsidR="00BE5AAE">
        <w:rPr>
          <w:lang w:val="el-GR"/>
        </w:rPr>
        <w:t xml:space="preserve"> </w:t>
      </w:r>
      <w:r>
        <w:rPr>
          <w:lang w:val="el-GR"/>
        </w:rPr>
        <w:t>φτώχεια</w:t>
      </w:r>
      <w:r w:rsidRPr="00824E2F">
        <w:rPr>
          <w:lang w:val="el-GR"/>
        </w:rPr>
        <w:t xml:space="preserve"> </w:t>
      </w:r>
      <w:r w:rsidR="00BE5AAE">
        <w:rPr>
          <w:lang w:val="el-GR"/>
        </w:rPr>
        <w:t xml:space="preserve">των ηλικιωμένων </w:t>
      </w:r>
      <w:r w:rsidRPr="00824E2F">
        <w:rPr>
          <w:lang w:val="el-GR"/>
        </w:rPr>
        <w:t>(</w:t>
      </w:r>
      <w:r w:rsidR="00050AF7">
        <w:rPr>
          <w:lang w:val="el-GR"/>
        </w:rPr>
        <w:t>η οποία στατιστικά ορίζεται ως το ποσοστό των</w:t>
      </w:r>
      <w:r w:rsidRPr="00824E2F">
        <w:rPr>
          <w:lang w:val="el-GR"/>
        </w:rPr>
        <w:t xml:space="preserve"> </w:t>
      </w:r>
      <w:r w:rsidR="00BE5AAE">
        <w:rPr>
          <w:lang w:val="el-GR"/>
        </w:rPr>
        <w:t>ηλικιωμένων</w:t>
      </w:r>
      <w:r w:rsidRPr="00824E2F">
        <w:rPr>
          <w:lang w:val="el-GR"/>
        </w:rPr>
        <w:t xml:space="preserve"> </w:t>
      </w:r>
      <w:r>
        <w:rPr>
          <w:lang w:val="el-GR"/>
        </w:rPr>
        <w:t>που</w:t>
      </w:r>
      <w:r w:rsidRPr="00824E2F">
        <w:rPr>
          <w:lang w:val="el-GR"/>
        </w:rPr>
        <w:t xml:space="preserve"> </w:t>
      </w:r>
      <w:r>
        <w:rPr>
          <w:lang w:val="el-GR"/>
        </w:rPr>
        <w:t>ζουν</w:t>
      </w:r>
      <w:r w:rsidRPr="00824E2F">
        <w:rPr>
          <w:lang w:val="el-GR"/>
        </w:rPr>
        <w:t xml:space="preserve"> </w:t>
      </w:r>
      <w:r w:rsidR="00050AF7">
        <w:rPr>
          <w:lang w:val="el-GR"/>
        </w:rPr>
        <w:t xml:space="preserve">σε οικογένειες με εισόδημα </w:t>
      </w:r>
      <w:r>
        <w:rPr>
          <w:lang w:val="el-GR"/>
        </w:rPr>
        <w:t>κάτω</w:t>
      </w:r>
      <w:r w:rsidRPr="00824E2F">
        <w:rPr>
          <w:lang w:val="el-GR"/>
        </w:rPr>
        <w:t xml:space="preserve"> </w:t>
      </w:r>
      <w:r>
        <w:rPr>
          <w:lang w:val="el-GR"/>
        </w:rPr>
        <w:t xml:space="preserve">από το όριο της φτώχειας) </w:t>
      </w:r>
      <w:r w:rsidR="00BE5AAE">
        <w:rPr>
          <w:lang w:val="el-GR"/>
        </w:rPr>
        <w:t xml:space="preserve">είναι ένα πολυσύνθετο φαινόμενο που </w:t>
      </w:r>
      <w:r>
        <w:rPr>
          <w:lang w:val="el-GR"/>
        </w:rPr>
        <w:t xml:space="preserve">συνδέεται </w:t>
      </w:r>
      <w:r w:rsidR="00975052">
        <w:rPr>
          <w:lang w:val="el-GR"/>
        </w:rPr>
        <w:t xml:space="preserve">τόσο </w:t>
      </w:r>
      <w:r>
        <w:rPr>
          <w:lang w:val="el-GR"/>
        </w:rPr>
        <w:t xml:space="preserve">με </w:t>
      </w:r>
      <w:r w:rsidR="00BE5AAE">
        <w:rPr>
          <w:lang w:val="el-GR"/>
        </w:rPr>
        <w:t xml:space="preserve">δημογραφικούς παράγοντες </w:t>
      </w:r>
      <w:r w:rsidR="005E777B" w:rsidRPr="005E777B">
        <w:rPr>
          <w:lang w:val="el-GR"/>
        </w:rPr>
        <w:t>(</w:t>
      </w:r>
      <w:r w:rsidR="005E777B">
        <w:rPr>
          <w:lang w:val="el-GR"/>
        </w:rPr>
        <w:t xml:space="preserve">όπως π.χ. το φύλο) </w:t>
      </w:r>
      <w:r w:rsidR="00975052">
        <w:rPr>
          <w:lang w:val="el-GR"/>
        </w:rPr>
        <w:t>όπως</w:t>
      </w:r>
      <w:r w:rsidR="00BE5AAE">
        <w:rPr>
          <w:lang w:val="el-GR"/>
        </w:rPr>
        <w:t xml:space="preserve"> και με την επάρκεια του συνταξιοδοτικού συστήματος </w:t>
      </w:r>
      <w:r w:rsidR="00AE7B24">
        <w:rPr>
          <w:lang w:val="el-GR"/>
        </w:rPr>
        <w:t>(</w:t>
      </w:r>
      <w:r w:rsidR="00BE5AAE">
        <w:t>European</w:t>
      </w:r>
      <w:r w:rsidR="00BE5AAE" w:rsidRPr="00BE5AAE">
        <w:rPr>
          <w:lang w:val="el-GR"/>
        </w:rPr>
        <w:t xml:space="preserve"> </w:t>
      </w:r>
      <w:r w:rsidR="00BE5AAE">
        <w:t>Commission</w:t>
      </w:r>
      <w:r w:rsidR="00BE5AAE" w:rsidRPr="00BE5AAE">
        <w:rPr>
          <w:lang w:val="el-GR"/>
        </w:rPr>
        <w:t xml:space="preserve">, 2018; </w:t>
      </w:r>
      <w:r w:rsidR="00BE5AAE">
        <w:t>Koutsampelas</w:t>
      </w:r>
      <w:r w:rsidR="00BE5AAE">
        <w:rPr>
          <w:lang w:val="el-GR"/>
        </w:rPr>
        <w:t>, 2012</w:t>
      </w:r>
      <w:r w:rsidR="00AE7B24" w:rsidRPr="00050AF7">
        <w:rPr>
          <w:lang w:val="el-GR"/>
        </w:rPr>
        <w:t>).</w:t>
      </w:r>
    </w:p>
    <w:p w:rsidR="00AE7B24" w:rsidRPr="00AE7B24" w:rsidRDefault="00AE7B24" w:rsidP="00AE7B24">
      <w:pPr>
        <w:pStyle w:val="PlainText"/>
        <w:spacing w:after="120" w:line="360" w:lineRule="auto"/>
        <w:jc w:val="both"/>
        <w:rPr>
          <w:lang w:val="el-GR"/>
        </w:rPr>
      </w:pPr>
      <w:r>
        <w:rPr>
          <w:lang w:val="el-GR"/>
        </w:rPr>
        <w:t xml:space="preserve">Χρησιμοποιώντας στοιχεία της </w:t>
      </w:r>
      <w:r>
        <w:t>Eurostat</w:t>
      </w:r>
      <w:r w:rsidR="00050AF7">
        <w:rPr>
          <w:lang w:val="el-GR"/>
        </w:rPr>
        <w:t xml:space="preserve"> που θα βρείτε στο φάκελο</w:t>
      </w:r>
      <w:r w:rsidRPr="00AE7B24">
        <w:rPr>
          <w:lang w:val="el-GR"/>
        </w:rPr>
        <w:t xml:space="preserve"> </w:t>
      </w:r>
      <w:r>
        <w:rPr>
          <w:lang w:val="el-GR"/>
        </w:rPr>
        <w:t xml:space="preserve">να περιγράψετε την τάση της φτώχειας </w:t>
      </w:r>
      <w:r w:rsidR="00BE5AAE">
        <w:rPr>
          <w:lang w:val="el-GR"/>
        </w:rPr>
        <w:t>των ηλικιωμένων στην Ελλάδα τα τελευταία</w:t>
      </w:r>
      <w:r w:rsidR="00975052">
        <w:rPr>
          <w:lang w:val="el-GR"/>
        </w:rPr>
        <w:t xml:space="preserve"> χρόνια καθώ</w:t>
      </w:r>
      <w:bookmarkStart w:id="0" w:name="_GoBack"/>
      <w:bookmarkEnd w:id="0"/>
      <w:r w:rsidR="00975052">
        <w:rPr>
          <w:lang w:val="el-GR"/>
        </w:rPr>
        <w:t xml:space="preserve">ς και να διεξάγετε </w:t>
      </w:r>
      <w:r w:rsidR="00BE5AAE">
        <w:rPr>
          <w:lang w:val="el-GR"/>
        </w:rPr>
        <w:t xml:space="preserve">συγκρίσεις με </w:t>
      </w:r>
      <w:r>
        <w:rPr>
          <w:lang w:val="el-GR"/>
        </w:rPr>
        <w:t>άλλες ευρωπαϊκές χώρε</w:t>
      </w:r>
      <w:r w:rsidR="00BE5AAE">
        <w:rPr>
          <w:lang w:val="el-GR"/>
        </w:rPr>
        <w:t>ς (ή με τον μέσο όρο της Ε.Ε.).</w:t>
      </w:r>
    </w:p>
    <w:p w:rsidR="006A72A8" w:rsidRPr="00AE7B24" w:rsidRDefault="006A72A8" w:rsidP="00A21B02">
      <w:pPr>
        <w:pStyle w:val="PlainText"/>
        <w:jc w:val="both"/>
        <w:rPr>
          <w:lang w:val="el-GR"/>
        </w:rPr>
      </w:pPr>
    </w:p>
    <w:p w:rsidR="00B06E87" w:rsidRPr="00476A8F" w:rsidRDefault="00B06E87" w:rsidP="00A21B02">
      <w:pPr>
        <w:pStyle w:val="PlainText"/>
        <w:jc w:val="both"/>
        <w:rPr>
          <w:lang w:val="el-GR"/>
        </w:rPr>
      </w:pPr>
    </w:p>
    <w:p w:rsidR="007E54C8" w:rsidRPr="00050AF7" w:rsidRDefault="00B06E87">
      <w:r w:rsidRPr="00B06E87">
        <w:rPr>
          <w:b/>
          <w:lang w:val="el-GR"/>
        </w:rPr>
        <w:t>Ενδεικτική</w:t>
      </w:r>
      <w:r w:rsidRPr="00050AF7">
        <w:rPr>
          <w:b/>
        </w:rPr>
        <w:t xml:space="preserve"> </w:t>
      </w:r>
      <w:r w:rsidRPr="00B06E87">
        <w:rPr>
          <w:b/>
          <w:lang w:val="el-GR"/>
        </w:rPr>
        <w:t>Βιβλιογραφία</w:t>
      </w:r>
      <w:r w:rsidRPr="00050AF7">
        <w:t>:</w:t>
      </w:r>
    </w:p>
    <w:p w:rsidR="00975052" w:rsidRDefault="00BE5AAE" w:rsidP="00050AF7">
      <w:pPr>
        <w:spacing w:line="360" w:lineRule="auto"/>
        <w:jc w:val="both"/>
      </w:pPr>
      <w:r w:rsidRPr="00BE5AAE">
        <w:rPr>
          <w:rFonts w:ascii="Calibri" w:hAnsi="Calibri"/>
          <w:szCs w:val="21"/>
        </w:rPr>
        <w:t>Koutsampelas, C. (2012). Aspects of Elderly Poverty in Cyprus. Cyprus Economic Policy Review, 6(1), pp. 69-89.</w:t>
      </w:r>
      <w:r w:rsidR="00975052" w:rsidRPr="00975052">
        <w:t xml:space="preserve"> </w:t>
      </w:r>
      <w:r w:rsidR="00975052">
        <w:t xml:space="preserve">Available at: </w:t>
      </w:r>
      <w:hyperlink r:id="rId4" w:history="1">
        <w:r w:rsidR="00975052" w:rsidRPr="00975052">
          <w:rPr>
            <w:rStyle w:val="Hyperlink"/>
          </w:rPr>
          <w:t>link</w:t>
        </w:r>
      </w:hyperlink>
      <w:r w:rsidR="00975052">
        <w:t>.</w:t>
      </w:r>
    </w:p>
    <w:p w:rsidR="00BE5AAE" w:rsidRDefault="00BE5AAE" w:rsidP="00050AF7">
      <w:pPr>
        <w:spacing w:line="360" w:lineRule="auto"/>
        <w:jc w:val="both"/>
        <w:rPr>
          <w:rFonts w:ascii="Calibri" w:hAnsi="Calibri"/>
          <w:szCs w:val="21"/>
        </w:rPr>
      </w:pPr>
      <w:r>
        <w:rPr>
          <w:rFonts w:ascii="Calibri" w:hAnsi="Calibri"/>
          <w:szCs w:val="21"/>
        </w:rPr>
        <w:t xml:space="preserve">European Commission (2018). Pension Adequacy Report. Brussels. Available at: </w:t>
      </w:r>
      <w:hyperlink r:id="rId5" w:history="1">
        <w:r w:rsidRPr="00BE5AAE">
          <w:rPr>
            <w:rStyle w:val="Hyperlink"/>
            <w:rFonts w:ascii="Calibri" w:hAnsi="Calibri"/>
            <w:szCs w:val="21"/>
          </w:rPr>
          <w:t>link</w:t>
        </w:r>
      </w:hyperlink>
    </w:p>
    <w:sectPr w:rsidR="00BE5A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88"/>
    <w:rsid w:val="00044A88"/>
    <w:rsid w:val="00050AF7"/>
    <w:rsid w:val="00476A8F"/>
    <w:rsid w:val="005E777B"/>
    <w:rsid w:val="006A72A8"/>
    <w:rsid w:val="007E54C8"/>
    <w:rsid w:val="00824E2F"/>
    <w:rsid w:val="00975052"/>
    <w:rsid w:val="00A21B02"/>
    <w:rsid w:val="00A832CD"/>
    <w:rsid w:val="00AE7B24"/>
    <w:rsid w:val="00B06E87"/>
    <w:rsid w:val="00B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02978-6D9E-4444-B57D-3ED4BB3F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6A8F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76A8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6A8F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76A8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21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1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.europa.eu/en/publication-detail/-/publication/f0e89c3f-7821-11e8-ac6a-01aa75ed71a1/language-en" TargetMode="External"/><Relationship Id="rId4" Type="http://schemas.openxmlformats.org/officeDocument/2006/relationships/hyperlink" Target="https://www.researchgate.net/publication/264312158_Aspects_of_Elderly_Poverty_in_Cyprus/sta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koutsampelas</dc:creator>
  <cp:keywords/>
  <dc:description/>
  <cp:lastModifiedBy>christos koutsampelas</cp:lastModifiedBy>
  <cp:revision>8</cp:revision>
  <dcterms:created xsi:type="dcterms:W3CDTF">2020-04-29T13:54:00Z</dcterms:created>
  <dcterms:modified xsi:type="dcterms:W3CDTF">2020-04-29T17:47:00Z</dcterms:modified>
</cp:coreProperties>
</file>